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comments.xml" ContentType="application/vnd.openxmlformats-officedocument.wordprocessingml.comments+xml"/>
  <Override PartName="/word/media/image1.emf" ContentType="image/x-emf"/>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commentRangeStart w:id="0"/>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rPr>
          <w:i w:val="false"/>
          <w:i w:val="false"/>
          <w:iCs w:val="false"/>
        </w:rPr>
      </w:pPr>
      <w:r>
        <w:rPr>
          <w:rFonts w:cs="Arial" w:ascii="Arial" w:hAnsi="Arial"/>
          <w:i w:val="false"/>
          <w:iCs w:val="false"/>
          <w:color w:val="0510FF"/>
          <w:sz w:val="28"/>
          <w:szCs w:val="28"/>
        </w:rPr>
        <w:t>011</w:t>
      </w:r>
      <w:r>
        <w:rPr>
          <w:rFonts w:cs="Arial" w:ascii="Arial" w:hAnsi="Arial"/>
          <w:i w:val="false"/>
          <w:iCs w:val="false"/>
          <w:color w:val="5B5B5F"/>
          <w:sz w:val="28"/>
          <w:szCs w:val="28"/>
        </w:rPr>
        <w:t>/</w:t>
      </w:r>
      <w:r>
        <w:rPr>
          <w:rFonts w:cs="Arial" w:ascii="Arial" w:hAnsi="Arial"/>
          <w:i w:val="false"/>
          <w:iCs w:val="false"/>
          <w:color w:val="0510FF"/>
          <w:sz w:val="28"/>
          <w:szCs w:val="28"/>
        </w:rPr>
        <w:t>2023 – 7º BEC</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0D13FF"/>
          <w:sz w:val="26"/>
          <w:szCs w:val="26"/>
        </w:rPr>
        <w:t>7º Batalhão de Engenharia de Construção</w:t>
      </w:r>
      <w:r>
        <w:rPr>
          <w:rFonts w:cs="Arial" w:ascii="Arial" w:hAnsi="Arial"/>
          <w:color w:val="5B5B5F"/>
          <w:sz w:val="26"/>
          <w:szCs w:val="26"/>
        </w:rPr>
        <w:t xml:space="preserve"> </w:t>
      </w:r>
      <w:r>
        <w:rPr>
          <w:rFonts w:cs="Arial" w:ascii="Arial" w:hAnsi="Arial"/>
          <w:i/>
          <w:iCs/>
          <w:color w:val="0510FF"/>
          <w:sz w:val="26"/>
          <w:szCs w:val="26"/>
        </w:rPr>
        <w:t xml:space="preserve">– </w:t>
      </w:r>
      <w:r>
        <w:rPr>
          <w:rFonts w:cs="Arial" w:ascii="Arial" w:hAnsi="Arial"/>
          <w:i w:val="false"/>
          <w:iCs w:val="false"/>
          <w:color w:val="0510FF"/>
          <w:sz w:val="26"/>
          <w:szCs w:val="26"/>
        </w:rPr>
        <w:t>7º BEC</w:t>
      </w:r>
      <w:r>
        <w:rPr>
          <w:rFonts w:cs="Arial" w:ascii="Arial" w:hAnsi="Arial"/>
          <w:color w:val="5B5B5F"/>
          <w:sz w:val="26"/>
          <w:szCs w:val="26"/>
        </w:rPr>
        <w:t xml:space="preserve"> </w:t>
      </w:r>
      <w:r>
        <w:rPr>
          <w:rFonts w:cs="Arial" w:ascii="Arial" w:hAnsi="Arial"/>
          <w:color w:val="0D13FF"/>
          <w:sz w:val="26"/>
          <w:szCs w:val="26"/>
        </w:rPr>
        <w:t>(UASG: 160001)</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pPr>
      <w:r>
        <w:rPr>
          <w:rFonts w:cs="Arial" w:ascii="Arial" w:hAnsi="Arial"/>
          <w:color w:val="101BFF" w:themeTint="a6"/>
          <w:sz w:val="26"/>
          <w:szCs w:val="26"/>
        </w:rPr>
        <w:t xml:space="preserve">Registro de preços para aquisição </w:t>
      </w:r>
      <w:r>
        <w:rPr>
          <w:rStyle w:val="Fontepargpadro1"/>
          <w:rFonts w:eastAsia="Times New Roman" w:cs="Arial" w:ascii="Arial" w:hAnsi="Arial"/>
          <w:b w:val="false"/>
          <w:bCs w:val="false"/>
          <w:i w:val="false"/>
          <w:caps w:val="false"/>
          <w:smallCaps w:val="false"/>
          <w:strike w:val="false"/>
          <w:dstrike w:val="false"/>
          <w:color w:val="101BFF" w:themeTint="a6"/>
          <w:spacing w:val="0"/>
          <w:kern w:val="2"/>
          <w:sz w:val="26"/>
          <w:szCs w:val="26"/>
          <w:u w:val="none"/>
          <w:lang w:val="pt-BR" w:eastAsia="zh-CN" w:bidi="ar-SA"/>
        </w:rPr>
        <w:t xml:space="preserve">de EPIs (Equipamentos de Proteção Individual) e material de SINALIZAÇÃO RODOVIÁRIA para os trabalhos de execução, manutenção e conservação da Rodovia Federal BR-317/AC, obras internas e missões diversas do 7° Batalhão de Engenharia de Construção para o(s) ano(s) de 2023/2024, </w:t>
      </w:r>
      <w:r>
        <w:rPr>
          <w:rStyle w:val="Fontepargpadro1"/>
          <w:rFonts w:eastAsia="Times New Roman" w:cs="Arial" w:ascii="Arial" w:hAnsi="Arial"/>
          <w:b w:val="false"/>
          <w:bCs w:val="false"/>
          <w:i w:val="false"/>
          <w:caps w:val="false"/>
          <w:smallCaps w:val="false"/>
          <w:strike w:val="false"/>
          <w:dstrike w:val="false"/>
          <w:color w:val="101BFF"/>
          <w:spacing w:val="0"/>
          <w:kern w:val="2"/>
          <w:sz w:val="26"/>
          <w:szCs w:val="26"/>
          <w:u w:val="none"/>
          <w:lang w:val="pt-BR" w:eastAsia="pt-BR" w:bidi="ar-SA"/>
        </w:rPr>
        <w:t xml:space="preserve">conforme condições </w:t>
      </w:r>
      <w:r>
        <w:rPr>
          <w:rStyle w:val="Fontepargpadro1"/>
          <w:rFonts w:eastAsia="Times New Roman" w:cs="Arial" w:ascii="Arial" w:hAnsi="Arial"/>
          <w:b w:val="false"/>
          <w:bCs w:val="false"/>
          <w:i w:val="false"/>
          <w:caps w:val="false"/>
          <w:smallCaps w:val="false"/>
          <w:strike w:val="false"/>
          <w:dstrike w:val="false"/>
          <w:color w:val="101BFF"/>
          <w:spacing w:val="0"/>
          <w:kern w:val="2"/>
          <w:sz w:val="26"/>
          <w:szCs w:val="26"/>
          <w:u w:val="none"/>
          <w:lang w:val="pt-BR" w:eastAsia="zh-CN" w:bidi="ar-SA"/>
        </w:rPr>
        <w:t>e exigências estabelecidas no Edital e seus anexos</w:t>
      </w:r>
      <w:r>
        <w:rPr>
          <w:rFonts w:cs="Arial" w:ascii="Arial" w:hAnsi="Arial"/>
          <w:color w:val="595959" w:themeColor="text1" w:themeTint="a6"/>
          <w:sz w:val="28"/>
          <w:szCs w:val="28"/>
        </w:rPr>
        <w:t>.</w:t>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R$ 950.6</w:t>
      </w:r>
      <w:r>
        <w:rPr>
          <w:rFonts w:cs="Arial" w:ascii="Arial" w:hAnsi="Arial"/>
          <w:b/>
          <w:bCs/>
          <w:color w:val="5B5B5F"/>
          <w:sz w:val="28"/>
          <w:szCs w:val="28"/>
        </w:rPr>
        <w:t>26</w:t>
      </w:r>
      <w:r>
        <w:rPr>
          <w:rFonts w:cs="Arial" w:ascii="Arial" w:hAnsi="Arial"/>
          <w:b/>
          <w:bCs/>
          <w:color w:val="5B5B5F"/>
          <w:sz w:val="28"/>
          <w:szCs w:val="28"/>
        </w:rPr>
        <w:t>,</w:t>
      </w:r>
      <w:r>
        <w:rPr>
          <w:rFonts w:cs="Arial" w:ascii="Arial" w:hAnsi="Arial"/>
          <w:b/>
          <w:bCs/>
          <w:color w:val="5B5B5F"/>
          <w:sz w:val="28"/>
          <w:szCs w:val="28"/>
        </w:rPr>
        <w:t>32</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commentRangeStart w:id="1"/>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color w:val="5B5B5F"/>
          <w:sz w:val="28"/>
          <w:szCs w:val="28"/>
        </w:rPr>
        <w:t>01</w:t>
      </w:r>
      <w:r>
        <w:rPr>
          <w:rFonts w:cs="Arial" w:ascii="Arial" w:hAnsi="Arial"/>
          <w:b/>
          <w:bCs/>
          <w:color w:val="5B5B5F"/>
          <w:sz w:val="28"/>
          <w:szCs w:val="28"/>
        </w:rPr>
        <w:t>/</w:t>
      </w:r>
      <w:r>
        <w:rPr>
          <w:rFonts w:cs="Arial" w:ascii="Arial" w:hAnsi="Arial"/>
          <w:b/>
          <w:bCs/>
          <w:color w:val="5B5B5F"/>
          <w:sz w:val="28"/>
          <w:szCs w:val="28"/>
        </w:rPr>
        <w:t>02</w:t>
      </w:r>
      <w:r>
        <w:rPr>
          <w:rFonts w:cs="Arial" w:ascii="Arial" w:hAnsi="Arial"/>
          <w:b/>
          <w:bCs/>
          <w:color w:val="5B5B5F"/>
          <w:sz w:val="28"/>
          <w:szCs w:val="28"/>
        </w:rPr>
        <w:t>/202</w:t>
      </w:r>
      <w:r>
        <w:rPr>
          <w:rFonts w:cs="Arial" w:ascii="Arial" w:hAnsi="Arial"/>
          <w:b/>
          <w:bCs/>
          <w:color w:val="5B5B5F"/>
          <w:sz w:val="28"/>
          <w:szCs w:val="28"/>
        </w:rPr>
        <w:t>4</w:t>
      </w:r>
      <w:r>
        <w:rPr>
          <w:rFonts w:cs="Arial" w:ascii="Arial" w:hAnsi="Arial"/>
          <w:b/>
          <w:bCs/>
          <w:color w:val="5B5B5F"/>
          <w:sz w:val="28"/>
          <w:szCs w:val="28"/>
        </w:rPr>
        <w:t xml:space="preserve"> </w:t>
      </w:r>
      <w:r>
        <w:rPr>
          <w:rFonts w:cs="Arial" w:ascii="Arial" w:hAnsi="Arial"/>
          <w:color w:val="5B5B5F"/>
          <w:sz w:val="28"/>
          <w:szCs w:val="28"/>
        </w:rPr>
        <w:t xml:space="preserve">às </w:t>
      </w:r>
      <w:r>
        <w:rPr>
          <w:rFonts w:cs="Arial" w:ascii="Arial" w:hAnsi="Arial"/>
          <w:b/>
          <w:bCs/>
          <w:color w:val="000000"/>
          <w:sz w:val="28"/>
          <w:szCs w:val="28"/>
        </w:rPr>
        <w:t>1</w:t>
      </w:r>
      <w:r>
        <w:rPr>
          <w:rFonts w:cs="Arial" w:ascii="Arial" w:hAnsi="Arial"/>
          <w:b/>
          <w:bCs/>
          <w:color w:val="000000"/>
          <w:sz w:val="28"/>
          <w:szCs w:val="28"/>
        </w:rPr>
        <w:t>0:30 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pPr>
      <w:r>
        <w:rPr>
          <w:rFonts w:cs="Arial" w:ascii="Arial" w:hAnsi="Arial"/>
          <w:color w:val="595959" w:themeColor="text1" w:themeTint="a6"/>
          <w:sz w:val="28"/>
          <w:szCs w:val="28"/>
        </w:rPr>
        <w:t xml:space="preserve">[aberto]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pPr>
      <w:r>
        <w:rPr>
          <w:rFonts w:cs="Arial" w:ascii="Arial" w:hAnsi="Arial"/>
          <w:b/>
          <w:bCs/>
          <w:color w:val="5B5B5F"/>
          <w:sz w:val="26"/>
          <w:szCs w:val="26"/>
        </w:rPr>
        <w:t xml:space="preserve">SIM </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pPr>
          <w:r>
            <w:rPr/>
          </w:r>
        </w:p>
        <w:p>
          <w:pPr>
            <w:pStyle w:val="Sumrio1"/>
            <w:rPr>
              <w:rFonts w:ascii="Cambria" w:hAnsi="Cambria" w:eastAsia="ＭＳ 明朝" w:cs="Arial" w:asciiTheme="minorHAnsi" w:cstheme="minorBidi" w:eastAsiaTheme="minorEastAsia" w:hAnsiTheme="minorHAnsi"/>
              <w:sz w:val="22"/>
              <w:szCs w:val="22"/>
            </w:rPr>
          </w:pPr>
          <w:r>
            <w:fldChar w:fldCharType="begin"/>
          </w:r>
          <w:r>
            <w:instrText> TOC \z \o "1-3" \u \h</w:instrText>
          </w:r>
          <w: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pPr>
          <w:hyperlink w:anchor="_Toc13546922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rStyle w:val="Vnculodendice"/>
              </w:rPr>
              <w:t xml:space="preserve">DO REGISTRO DE PREÇOS </w:t>
            </w:r>
            <w:r>
              <w:rPr>
                <w:rStyle w:val="Vnculodendice"/>
                <w:vanish w:val="false"/>
              </w:rPr>
              <w:tab/>
            </w:r>
          </w:hyperlink>
          <w:r>
            <w:rPr>
              <w:vanish w:val="false"/>
            </w:rPr>
            <w:t>4</w:t>
          </w:r>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webHidden/>
              </w:rPr>
              <w:fldChar w:fldCharType="begin"/>
            </w:r>
            <w:r>
              <w:rPr>
                <w:webHidden/>
              </w:rPr>
              <w:instrText>PAGEREF _Toc135469225 \h</w:instrText>
            </w:r>
            <w:r>
              <w:rPr>
                <w:webHidden/>
              </w:rPr>
              <w:fldChar w:fldCharType="separate"/>
            </w:r>
            <w:r>
              <w:rPr>
                <w:rStyle w:val="Vnculodendice"/>
                <w:vanish w:val="false"/>
              </w:rPr>
              <w:tab/>
              <w:t>4</w:t>
            </w:r>
            <w:r>
              <w:rPr>
                <w:webHidden/>
              </w:rPr>
              <w:fldChar w:fldCharType="end"/>
            </w:r>
          </w:hyperlink>
        </w:p>
        <w:p>
          <w:pPr>
            <w:pStyle w:val="Sumrio1"/>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rStyle w:val="Vnculodendice"/>
                <w:vanish w:val="false"/>
              </w:rPr>
              <w:tab/>
            </w:r>
          </w:hyperlink>
          <w:r>
            <w:rPr>
              <w:vanish w:val="false"/>
            </w:rPr>
            <w:t>6</w:t>
          </w:r>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rStyle w:val="Vnculodendice"/>
                <w:vanish w:val="false"/>
              </w:rPr>
              <w:tab/>
            </w:r>
          </w:hyperlink>
          <w:r>
            <w:rPr>
              <w:rFonts w:eastAsia="ＭＳ 明朝" w:cs="Arial" w:ascii="Cambria" w:hAnsi="Cambria" w:asciiTheme="minorHAnsi" w:cstheme="minorBidi" w:eastAsiaTheme="minorEastAsia" w:hAnsiTheme="minorHAnsi"/>
              <w:vanish w:val="false"/>
              <w:sz w:val="22"/>
              <w:szCs w:val="22"/>
            </w:rPr>
            <w:t>9</w:t>
          </w:r>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webHidden/>
              </w:rPr>
              <w:fldChar w:fldCharType="begin"/>
            </w:r>
            <w:r>
              <w:rPr>
                <w:webHidden/>
              </w:rPr>
              <w:instrText>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webHidden/>
              </w:rPr>
              <w:fldChar w:fldCharType="begin"/>
            </w:r>
            <w:r>
              <w:rPr>
                <w:webHidden/>
              </w:rPr>
              <w:instrText>PAGEREF _Toc135469230 \h</w:instrText>
            </w:r>
            <w:r>
              <w:rPr>
                <w:webHidden/>
              </w:rPr>
              <w:fldChar w:fldCharType="separate"/>
            </w:r>
            <w:r>
              <w:rPr>
                <w:rStyle w:val="Vnculodendice"/>
                <w:vanish w:val="false"/>
              </w:rPr>
              <w:tab/>
              <w:t>15</w:t>
            </w:r>
            <w:r>
              <w:rPr>
                <w:webHidden/>
              </w:rPr>
              <w:fldChar w:fldCharType="end"/>
            </w:r>
          </w:hyperlink>
        </w:p>
        <w:p>
          <w:pPr>
            <w:pStyle w:val="Sumrio1"/>
            <w:rPr/>
          </w:pPr>
          <w:hyperlink w:anchor="_Toc13546923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ATA DE REGISTRO DE PREÇOS</w:t>
            </w:r>
            <w:r>
              <w:rPr>
                <w:webHidden/>
              </w:rPr>
              <w:fldChar w:fldCharType="begin"/>
            </w:r>
            <w:r>
              <w:rPr>
                <w:webHidden/>
              </w:rPr>
              <w:instrText>PAGEREF _Toc135469231 \h</w:instrText>
            </w:r>
            <w:r>
              <w:rPr>
                <w:webHidden/>
              </w:rPr>
              <w:fldChar w:fldCharType="separate"/>
            </w:r>
            <w:r>
              <w:rPr>
                <w:rStyle w:val="Vnculodendice"/>
                <w:vanish w:val="false"/>
              </w:rPr>
              <w:tab/>
              <w:t>18</w:t>
            </w:r>
            <w:r>
              <w:rPr>
                <w:webHidden/>
              </w:rPr>
              <w:fldChar w:fldCharType="end"/>
            </w:r>
          </w:hyperlink>
        </w:p>
        <w:p>
          <w:pPr>
            <w:pStyle w:val="Sumrio1"/>
            <w:rPr/>
          </w:pPr>
          <w:hyperlink w:anchor="_Toc13546923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FORMAÇÃO DO CADASTRO DE RESERVA</w:t>
            </w:r>
            <w:r>
              <w:rPr>
                <w:webHidden/>
              </w:rPr>
              <w:fldChar w:fldCharType="begin"/>
            </w:r>
            <w:r>
              <w:rPr>
                <w:webHidden/>
              </w:rPr>
              <w:instrText>PAGEREF _Toc135469232 \h</w:instrText>
            </w:r>
            <w:r>
              <w:rPr>
                <w:webHidden/>
              </w:rPr>
              <w:fldChar w:fldCharType="separate"/>
            </w:r>
            <w:r>
              <w:rPr>
                <w:rStyle w:val="Vnculodendice"/>
                <w:vanish w:val="false"/>
              </w:rPr>
              <w:tab/>
              <w:t>19</w:t>
            </w:r>
            <w:r>
              <w:rPr>
                <w:webHidden/>
              </w:rPr>
              <w:fldChar w:fldCharType="end"/>
            </w:r>
          </w:hyperlink>
        </w:p>
        <w:p>
          <w:pPr>
            <w:pStyle w:val="Sumrio1"/>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webHidden/>
              </w:rPr>
              <w:fldChar w:fldCharType="begin"/>
            </w:r>
            <w:r>
              <w:rPr>
                <w:webHidden/>
              </w:rPr>
              <w:instrText>PAGEREF _Toc135469233 \h</w:instrText>
            </w:r>
            <w:r>
              <w:rPr>
                <w:webHidden/>
              </w:rPr>
              <w:fldChar w:fldCharType="separate"/>
            </w:r>
            <w:r>
              <w:rPr>
                <w:rStyle w:val="Vnculodendice"/>
                <w:vanish w:val="false"/>
              </w:rPr>
              <w:tab/>
              <w:t>19</w:t>
            </w:r>
            <w:r>
              <w:rPr>
                <w:webHidden/>
              </w:rPr>
              <w:fldChar w:fldCharType="end"/>
            </w:r>
          </w:hyperlink>
        </w:p>
        <w:p>
          <w:pPr>
            <w:pStyle w:val="Sumrio1"/>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rStyle w:val="Vnculodendice"/>
                <w:vanish w:val="false"/>
              </w:rPr>
              <w:tab/>
            </w:r>
          </w:hyperlink>
          <w:r>
            <w:rPr>
              <w:rFonts w:eastAsia="ＭＳ 明朝" w:cs="Arial" w:ascii="Cambria" w:hAnsi="Cambria" w:asciiTheme="minorHAnsi" w:cstheme="minorBidi" w:eastAsiaTheme="minorEastAsia" w:hAnsiTheme="minorHAnsi"/>
              <w:vanish w:val="false"/>
              <w:sz w:val="22"/>
              <w:szCs w:val="22"/>
            </w:rPr>
            <w:t>20</w:t>
          </w:r>
        </w:p>
        <w:p>
          <w:pPr>
            <w:pStyle w:val="Sumrio1"/>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webHidden/>
              </w:rPr>
              <w:fldChar w:fldCharType="begin"/>
            </w:r>
            <w:r>
              <w:rPr>
                <w:webHidden/>
              </w:rPr>
              <w:instrText>PAGEREF _Toc135469235 \h</w:instrText>
            </w:r>
            <w:r>
              <w:rPr>
                <w:webHidden/>
              </w:rPr>
              <w:fldChar w:fldCharType="separate"/>
            </w:r>
            <w:r>
              <w:rPr>
                <w:rStyle w:val="Vnculodendice"/>
                <w:vanish w:val="false"/>
              </w:rPr>
              <w:tab/>
              <w:t>22</w:t>
            </w:r>
            <w:r>
              <w:rPr>
                <w:webHidden/>
              </w:rPr>
              <w:fldChar w:fldCharType="end"/>
            </w:r>
          </w:hyperlink>
        </w:p>
        <w:p>
          <w:pPr>
            <w:pStyle w:val="Sumrio1"/>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webHidden/>
              </w:rPr>
              <w:fldChar w:fldCharType="begin"/>
            </w:r>
            <w:r>
              <w:rPr>
                <w:webHidden/>
              </w:rPr>
              <w:instrText>PAGEREF _Toc135469236 \h</w:instrText>
            </w:r>
            <w:r>
              <w:rPr>
                <w:webHidden/>
              </w:rPr>
              <w:fldChar w:fldCharType="separate"/>
            </w:r>
            <w:r>
              <w:rPr>
                <w:rStyle w:val="Vnculodendice"/>
                <w:vanish w:val="false"/>
              </w:rPr>
              <w:tab/>
              <w:t>22</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276"/>
        <w:jc w:val="center"/>
        <w:rPr/>
      </w:pPr>
      <w:r>
        <w:rPr/>
        <w:object>
          <v:shape id="ole_rId2" style="width:66.65pt;height:62pt" o:ole="">
            <v:imagedata r:id="rId3" o:title=""/>
          </v:shape>
          <o:OLEObject Type="Embed" ProgID="" ShapeID="ole_rId2" DrawAspect="Content" ObjectID="_224658254" r:id="rId2"/>
        </w:object>
      </w:r>
    </w:p>
    <w:p>
      <w:pPr>
        <w:pStyle w:val="Xl32"/>
        <w:suppressAutoHyphens w:val="true"/>
        <w:spacing w:lineRule="auto" w:line="276" w:before="0" w:after="0"/>
        <w:rPr/>
      </w:pPr>
      <w:r>
        <w:rPr>
          <w:rFonts w:eastAsia="Times New Roman" w:cs="Arial" w:ascii="Arial" w:hAnsi="Arial"/>
          <w:b/>
          <w:sz w:val="20"/>
          <w:szCs w:val="20"/>
        </w:rPr>
        <w:t>MINISTÉRIO DA DEFESA</w:t>
      </w:r>
    </w:p>
    <w:p>
      <w:pPr>
        <w:pStyle w:val="Xl32"/>
        <w:suppressAutoHyphens w:val="true"/>
        <w:spacing w:lineRule="auto" w:line="276" w:before="0" w:after="0"/>
        <w:rPr/>
      </w:pPr>
      <w:r>
        <w:rPr>
          <w:rFonts w:eastAsia="Times New Roman" w:cs="Arial" w:ascii="Arial" w:hAnsi="Arial"/>
          <w:b/>
          <w:sz w:val="20"/>
          <w:szCs w:val="20"/>
        </w:rPr>
        <w:t>EXÉRCITO BRASILEIRO</w:t>
      </w:r>
    </w:p>
    <w:p>
      <w:pPr>
        <w:pStyle w:val="Xl32"/>
        <w:suppressAutoHyphens w:val="true"/>
        <w:spacing w:lineRule="auto" w:line="276" w:before="0" w:after="0"/>
        <w:rPr/>
      </w:pPr>
      <w:r>
        <w:rPr>
          <w:rFonts w:eastAsia="Times New Roman" w:cs="Arial" w:ascii="Arial" w:hAnsi="Arial"/>
          <w:b/>
          <w:sz w:val="20"/>
          <w:szCs w:val="20"/>
        </w:rPr>
        <w:t>CMA - 2º Gpt E</w:t>
      </w:r>
    </w:p>
    <w:p>
      <w:pPr>
        <w:pStyle w:val="Xl32"/>
        <w:suppressAutoHyphens w:val="true"/>
        <w:spacing w:lineRule="auto" w:line="276" w:before="0" w:after="0"/>
        <w:rPr>
          <w:i w:val="false"/>
          <w:i w:val="false"/>
          <w:iCs w:val="false"/>
          <w:color w:val="000000"/>
        </w:rPr>
      </w:pPr>
      <w:r>
        <w:rPr>
          <w:rFonts w:eastAsia="Times New Roman" w:cs="Arial" w:ascii="Arial" w:hAnsi="Arial"/>
          <w:b/>
          <w:sz w:val="20"/>
          <w:szCs w:val="20"/>
        </w:rPr>
        <w:t>7º BATALHÃO DE ENGENHARIA DE CONSTRUÇÃO</w:t>
      </w:r>
    </w:p>
    <w:p>
      <w:pPr>
        <w:pStyle w:val="Xl32"/>
        <w:suppressAutoHyphens w:val="true"/>
        <w:spacing w:lineRule="auto" w:line="276" w:before="0" w:after="0"/>
        <w:ind w:firstLine="567"/>
        <w:jc w:val="center"/>
        <w:rPr>
          <w:i w:val="false"/>
          <w:i w:val="false"/>
          <w:iCs w:val="false"/>
          <w:color w:val="000000"/>
        </w:rPr>
      </w:pPr>
      <w:bookmarkStart w:id="0" w:name="_Hlk68103525"/>
      <w:bookmarkEnd w:id="0"/>
      <w:r>
        <w:rPr>
          <w:rFonts w:eastAsia="Times New Roman" w:cs="Arial" w:ascii="Arial" w:hAnsi="Arial"/>
          <w:b/>
          <w:bCs/>
          <w:i w:val="false"/>
          <w:iCs w:val="false"/>
          <w:color w:val="000000"/>
          <w:sz w:val="20"/>
          <w:szCs w:val="20"/>
        </w:rPr>
        <w:t>BATALHÃO BARÃO DO RIO BRANCO</w:t>
      </w:r>
    </w:p>
    <w:p>
      <w:pPr>
        <w:pStyle w:val="Normal"/>
        <w:spacing w:lineRule="auto" w:line="312" w:before="288" w:after="288"/>
        <w:ind w:firstLine="567"/>
        <w:jc w:val="center"/>
        <w:rPr/>
      </w:pPr>
      <w:r>
        <w:rPr>
          <w:rFonts w:cs="Arial" w:ascii="Arial" w:hAnsi="Arial"/>
          <w:b/>
          <w:color w:val="000000"/>
          <w:sz w:val="20"/>
          <w:szCs w:val="20"/>
        </w:rPr>
        <w:t xml:space="preserve">PREGÃO ELETRÔNICO Nº </w:t>
      </w:r>
      <w:r>
        <w:rPr>
          <w:rFonts w:cs="Arial" w:ascii="Arial" w:hAnsi="Arial"/>
          <w:b/>
          <w:color w:val="1013D5"/>
          <w:sz w:val="20"/>
          <w:szCs w:val="20"/>
        </w:rPr>
        <w:t>011</w:t>
      </w:r>
      <w:r>
        <w:rPr>
          <w:rFonts w:cs="Arial" w:ascii="Arial" w:hAnsi="Arial"/>
          <w:b/>
          <w:color w:val="000000"/>
          <w:sz w:val="20"/>
          <w:szCs w:val="20"/>
        </w:rPr>
        <w:t>/</w:t>
      </w:r>
      <w:r>
        <w:rPr>
          <w:rFonts w:cs="Arial" w:ascii="Arial" w:hAnsi="Arial"/>
          <w:b/>
          <w:color w:val="1013D5"/>
          <w:sz w:val="20"/>
          <w:szCs w:val="20"/>
        </w:rPr>
        <w:t>2023</w:t>
      </w:r>
      <w:r>
        <w:rPr>
          <w:rFonts w:cs="Arial" w:ascii="Arial" w:hAnsi="Arial"/>
          <w:b/>
          <w:color w:val="000000"/>
          <w:sz w:val="20"/>
          <w:szCs w:val="20"/>
        </w:rPr>
        <w:t xml:space="preserve"> – </w:t>
      </w:r>
      <w:r>
        <w:rPr>
          <w:rFonts w:cs="Arial" w:ascii="Arial" w:hAnsi="Arial"/>
          <w:b/>
          <w:color w:val="1013D5"/>
          <w:sz w:val="20"/>
          <w:szCs w:val="20"/>
        </w:rPr>
        <w:t>7º BEC</w:t>
      </w:r>
    </w:p>
    <w:p>
      <w:pPr>
        <w:pStyle w:val="Normal"/>
        <w:spacing w:lineRule="auto" w:line="312" w:before="288" w:after="288"/>
        <w:ind w:firstLine="567"/>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
          <w:bCs/>
          <w:color w:val="1013D5"/>
          <w:sz w:val="20"/>
          <w:szCs w:val="20"/>
        </w:rPr>
        <w:t>64045</w:t>
      </w:r>
      <w:r>
        <w:rPr>
          <w:rFonts w:cs="Arial" w:ascii="Arial" w:hAnsi="Arial"/>
          <w:b/>
          <w:bCs/>
          <w:color w:val="000000"/>
          <w:sz w:val="20"/>
          <w:szCs w:val="20"/>
        </w:rPr>
        <w:t>.</w:t>
      </w:r>
      <w:r>
        <w:rPr>
          <w:rFonts w:cs="Arial" w:ascii="Arial" w:hAnsi="Arial"/>
          <w:b/>
          <w:bCs/>
          <w:color w:val="1013D5"/>
          <w:sz w:val="20"/>
          <w:szCs w:val="20"/>
        </w:rPr>
        <w:t>002045</w:t>
      </w:r>
      <w:r>
        <w:rPr>
          <w:rFonts w:cs="Arial" w:ascii="Arial" w:hAnsi="Arial"/>
          <w:b/>
          <w:bCs/>
          <w:color w:val="000000"/>
          <w:sz w:val="20"/>
          <w:szCs w:val="20"/>
        </w:rPr>
        <w:t>/</w:t>
      </w:r>
      <w:r>
        <w:rPr>
          <w:rFonts w:cs="Arial" w:ascii="Arial" w:hAnsi="Arial"/>
          <w:b/>
          <w:bCs/>
          <w:color w:val="1013D5"/>
          <w:sz w:val="20"/>
          <w:szCs w:val="20"/>
        </w:rPr>
        <w:t>2023</w:t>
      </w:r>
      <w:r>
        <w:rPr>
          <w:rFonts w:cs="Arial" w:ascii="Arial" w:hAnsi="Arial"/>
          <w:b/>
          <w:bCs/>
          <w:color w:val="000000"/>
          <w:sz w:val="20"/>
          <w:szCs w:val="20"/>
        </w:rPr>
        <w:t>-</w:t>
      </w:r>
      <w:r>
        <w:rPr>
          <w:rFonts w:cs="Arial" w:ascii="Arial" w:hAnsi="Arial"/>
          <w:b/>
          <w:bCs/>
          <w:color w:val="1013D5"/>
          <w:sz w:val="20"/>
          <w:szCs w:val="20"/>
        </w:rPr>
        <w:t>80</w:t>
      </w:r>
      <w:r>
        <w:rPr>
          <w:rFonts w:cs="Arial" w:ascii="Arial" w:hAnsi="Arial"/>
          <w:bCs/>
          <w:color w:val="000000"/>
          <w:sz w:val="20"/>
          <w:szCs w:val="20"/>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ind w:left="0" w:firstLine="1134"/>
        <w:rPr/>
      </w:pPr>
      <w:r>
        <w:rPr/>
        <w:t xml:space="preserve">Torna-se público que o </w:t>
      </w:r>
      <w:r>
        <w:rPr>
          <w:rFonts w:cs="Arial"/>
          <w:b/>
          <w:bCs/>
          <w:color w:val="000000"/>
          <w:sz w:val="20"/>
          <w:szCs w:val="20"/>
        </w:rPr>
        <w:t>7º BATALHÃO DE ENGENHARIA DE CONSTRUÇÃO – 7º BEC (UASG: 160001)</w:t>
      </w:r>
      <w:r>
        <w:rPr/>
        <w:t xml:space="preserve">, por meio da </w:t>
      </w:r>
      <w:r>
        <w:rPr>
          <w:rFonts w:cs="Arial"/>
          <w:b/>
          <w:bCs/>
          <w:color w:val="000000"/>
          <w:sz w:val="20"/>
          <w:szCs w:val="20"/>
        </w:rPr>
        <w:t>Seção de Aquisição, Licitações e Contratos – SALC</w:t>
      </w:r>
      <w:r>
        <w:rPr/>
        <w:t xml:space="preserve">, sediado </w:t>
      </w:r>
      <w:r>
        <w:rPr>
          <w:rFonts w:cs="Arial"/>
          <w:b w:val="false"/>
          <w:bCs w:val="false"/>
          <w:color w:val="000000"/>
          <w:sz w:val="20"/>
          <w:szCs w:val="20"/>
        </w:rPr>
        <w:t>na Avenida Nações Unidas, nº 2.100, Bairro 7º BEC, CEP: 69.918-093, Rio Branco – AC</w:t>
      </w:r>
      <w:r>
        <w:rPr/>
        <w:t>, realizará licitação, para registro de preços, na modalidade PREGÃO, na forma ELETRÔNICA,</w:t>
      </w:r>
      <w:r>
        <w:rPr>
          <w:rFonts w:eastAsia="Times New Roman"/>
        </w:rPr>
        <w:t xml:space="preserve"> </w:t>
      </w:r>
      <w:r>
        <w:rPr/>
        <w:t xml:space="preserve">nos termos da </w:t>
      </w:r>
      <w:hyperlink r:id="rId4">
        <w:r>
          <w:rPr>
            <w:webHidden/>
            <w:rStyle w:val="LinkdaInternet"/>
            <w:vanish/>
          </w:rPr>
          <w:t>Lei nº 14.133, de 1º de abril de 2021</w:t>
        </w:r>
      </w:hyperlink>
      <w:r>
        <w:rPr/>
        <w:t>, do Decreto nº 11.462, de 31 de março de 2023,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1" w:name="_Toc135469223"/>
      <w:bookmarkEnd w:id="1"/>
      <w:r>
        <w:rPr>
          <w:lang w:eastAsia="en-US"/>
        </w:rPr>
        <w:t>DO OBJETO</w:t>
      </w:r>
    </w:p>
    <w:p>
      <w:pPr>
        <w:pStyle w:val="Nivel2"/>
        <w:numPr>
          <w:ilvl w:val="1"/>
          <w:numId w:val="1"/>
        </w:numPr>
        <w:ind w:left="0" w:hanging="0"/>
        <w:rPr/>
      </w:pPr>
      <w:r>
        <w:rPr>
          <w:sz w:val="20"/>
          <w:szCs w:val="20"/>
        </w:rPr>
        <w:t xml:space="preserve">O objeto da presente licitação é a </w:t>
      </w:r>
      <w:r>
        <w:rPr>
          <w:color w:val="0510FF"/>
          <w:sz w:val="20"/>
          <w:szCs w:val="20"/>
        </w:rPr>
        <w:t>aquisição de</w:t>
      </w:r>
      <w:r>
        <w:rPr>
          <w:rFonts w:cs="Arial"/>
          <w:color w:val="0510FF"/>
          <w:kern w:val="2"/>
          <w:sz w:val="20"/>
          <w:szCs w:val="20"/>
          <w:lang w:eastAsia="zh-CN"/>
        </w:rPr>
        <w:t xml:space="preserve"> </w:t>
      </w:r>
      <w:r>
        <w:rPr>
          <w:rStyle w:val="Fontepargpadro1"/>
          <w:rFonts w:eastAsia="Times New Roman" w:cs="Spranq eco sans"/>
          <w:b w:val="false"/>
          <w:bCs w:val="false"/>
          <w:i w:val="false"/>
          <w:caps w:val="false"/>
          <w:smallCaps w:val="false"/>
          <w:strike w:val="false"/>
          <w:dstrike w:val="false"/>
          <w:color w:val="0B16DC"/>
          <w:spacing w:val="0"/>
          <w:kern w:val="2"/>
          <w:sz w:val="20"/>
          <w:szCs w:val="20"/>
          <w:highlight w:val="white"/>
          <w:u w:val="none"/>
          <w:lang w:val="pt-BR" w:eastAsia="ar-SA" w:bidi="ar-SA"/>
        </w:rPr>
        <w:t>EPIs (Equipamentos de Proteção Individual) e material de sinalização rodoviária para os trabalhos de execução, manutenção e conservação da Rodovia Federal BR-317/AC, obras internas e missões diversas do 7° Batalhão de Engenharia de Construção para o(s) ano(s) de 2023/2024</w:t>
      </w:r>
      <w:r>
        <w:rPr>
          <w:rFonts w:cs="Arial"/>
          <w:color w:val="000000"/>
          <w:kern w:val="2"/>
          <w:sz w:val="20"/>
          <w:szCs w:val="20"/>
          <w:lang w:eastAsia="zh-CN"/>
        </w:rPr>
        <w:t xml:space="preserve">, </w:t>
      </w:r>
      <w:r>
        <w:rPr>
          <w:sz w:val="20"/>
          <w:szCs w:val="20"/>
        </w:rPr>
        <w:t>conforme condições, quantidades e exigências estabelecidas neste Edital e seus anexos.</w:t>
      </w:r>
    </w:p>
    <w:p>
      <w:pPr>
        <w:pStyle w:val="Nvel2Red"/>
        <w:numPr>
          <w:ilvl w:val="0"/>
          <w:numId w:val="1"/>
        </w:numPr>
        <w:rPr>
          <w:color w:val="000000"/>
        </w:rPr>
      </w:pPr>
      <w:r>
        <w:rPr>
          <w:color w:val="000000"/>
        </w:rPr>
        <w:t>A licitação será dividida em itens, conforme tabela constante do Termo de Referência, facultando-se ao licitante a participação em quantos itens forem de seu interesse.</w:t>
      </w:r>
    </w:p>
    <w:p>
      <w:pPr>
        <w:pStyle w:val="Nivel01"/>
        <w:numPr>
          <w:ilvl w:val="0"/>
          <w:numId w:val="1"/>
        </w:numPr>
        <w:rPr/>
      </w:pPr>
      <w:commentRangeStart w:id="2"/>
      <w:r>
        <w:rPr/>
        <w:t xml:space="preserve">DO REGISTRO DE PREÇOS </w:t>
      </w:r>
      <w:bookmarkStart w:id="2" w:name="_Toc135469224"/>
      <w:bookmarkEnd w:id="2"/>
      <w:commentRangeEnd w:id="2"/>
      <w:r>
        <w:commentReference w:id="2"/>
      </w:r>
      <w:r>
        <w:rPr/>
      </w:r>
    </w:p>
    <w:p>
      <w:pPr>
        <w:pStyle w:val="Nivel2"/>
        <w:numPr>
          <w:ilvl w:val="1"/>
          <w:numId w:val="1"/>
        </w:numPr>
        <w:ind w:left="0" w:hanging="0"/>
        <w:rPr/>
      </w:pPr>
      <w:r>
        <w:rPr/>
        <w:t>As regras referentes aos órgãos gerenciador e participantes, bem como a eventuais adesões são as que constam da minuta de Ata de Registro de Preços.</w:t>
      </w:r>
    </w:p>
    <w:p>
      <w:pPr>
        <w:pStyle w:val="Nivel01"/>
        <w:numPr>
          <w:ilvl w:val="0"/>
          <w:numId w:val="1"/>
        </w:numPr>
        <w:rPr/>
      </w:pPr>
      <w:bookmarkStart w:id="3" w:name="_Toc135469225"/>
      <w:bookmarkEnd w:id="3"/>
      <w:r>
        <w:rPr/>
        <w:t>DA PARTICIPAÇÃO NA LICITAÇÃO</w:t>
      </w:r>
    </w:p>
    <w:p>
      <w:pPr>
        <w:pStyle w:val="Nivel2"/>
        <w:numPr>
          <w:ilvl w:val="1"/>
          <w:numId w:val="1"/>
        </w:numPr>
        <w:ind w:left="0" w:hanging="0"/>
        <w:rPr/>
      </w:pPr>
      <w:bookmarkStart w:id="4" w:name="_Hlk135302270"/>
      <w:r>
        <w:rPr/>
        <w:t>Poderão participar deste Pregão os interessados que estiverem previamente credenciados no Sistema de Cadastramento Unificado de Fornecedores - SICAF e no Sistema de Compras do Governo Federal (</w:t>
      </w:r>
      <w:hyperlink r:id="rId5">
        <w:r>
          <w:rPr>
            <w:webHidden/>
            <w:rStyle w:val="LinkdaInternet"/>
            <w:vanish/>
          </w:rPr>
          <w:t>www.gov.br/compras</w:t>
        </w:r>
      </w:hyperlink>
      <w:bookmarkEnd w:id="4"/>
      <w:r>
        <w:rPr/>
        <w:t>).</w:t>
      </w:r>
    </w:p>
    <w:p>
      <w:pPr>
        <w:pStyle w:val="Nivel3"/>
        <w:numPr>
          <w:ilvl w:val="2"/>
          <w:numId w:val="1"/>
        </w:numPr>
        <w:ind w:left="284" w:hanging="0"/>
        <w:rPr/>
      </w:pPr>
      <w:bookmarkStart w:id="5" w:name="_Hlk135304247"/>
      <w:bookmarkEnd w:id="5"/>
      <w:r>
        <w:rPr/>
        <w:t>Os interessados deverão atender às condições exigidas no cadastramento no Sicaf até o terceiro dia útil anterior à data prevista para recebimento das propostas.</w:t>
      </w:r>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0"/>
          <w:numId w:val="1"/>
        </w:numPr>
        <w:rPr/>
      </w:pPr>
      <w:r>
        <w:rPr>
          <w:color w:val="000000"/>
        </w:rPr>
        <w:t xml:space="preserve">Para todos os itens a participação é exclusiva a microempresas e empresas de pequeno porte, nos termos do </w:t>
      </w:r>
      <w:hyperlink r:id="rId6">
        <w:r>
          <w:rPr>
            <w:webHidden/>
            <w:rStyle w:val="LinkdaInternet"/>
            <w:vanish/>
            <w:color w:val="000000"/>
          </w:rPr>
          <w:t>art. 48 da Lei Complementar nº 123, de 14 de dezembro de 2006</w:t>
        </w:r>
      </w:hyperlink>
      <w:r>
        <w:rPr>
          <w:color w:val="000000"/>
        </w:rPr>
        <w:t>.</w:t>
      </w:r>
    </w:p>
    <w:p>
      <w:pPr>
        <w:pStyle w:val="Nvel3R"/>
        <w:numPr>
          <w:ilvl w:val="0"/>
          <w:numId w:val="1"/>
        </w:numPr>
        <w:rPr/>
      </w:pPr>
      <w:bookmarkStart w:id="6" w:name="_Ref117015508"/>
      <w:commentRangeStart w:id="3"/>
      <w:r>
        <w:rPr>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commentRangeEnd w:id="3"/>
      <w:r>
        <w:commentReference w:id="3"/>
      </w:r>
      <w:r>
        <w:rPr>
          <w:color w:val="000000"/>
        </w:rPr>
      </w:r>
    </w:p>
    <w:p>
      <w:pPr>
        <w:pStyle w:val="Nivel2"/>
        <w:numPr>
          <w:ilvl w:val="1"/>
          <w:numId w:val="1"/>
        </w:numPr>
        <w:ind w:left="0" w:hanging="0"/>
        <w:rPr/>
      </w:pPr>
      <w:r>
        <w:rPr>
          <w:color w:val="00000A"/>
        </w:rPr>
        <w:t xml:space="preserve">Será concedido tratamento favorecido para as microempresas e empresas de pequeno porte, </w:t>
      </w:r>
      <w:commentRangeStart w:id="4"/>
      <w:r>
        <w:rPr>
          <w:color w:val="000000"/>
        </w:rPr>
        <w:t xml:space="preserve">para as sociedades cooperativas </w:t>
      </w:r>
      <w:r>
        <w:rPr>
          <w:rFonts w:eastAsia="Times New Roman"/>
          <w:color w:val="000000"/>
        </w:rPr>
        <w:t>mencionadas no</w:t>
      </w:r>
      <w:r>
        <w:rPr>
          <w:rFonts w:eastAsia="Times New Roman"/>
          <w:color w:val="FF0000"/>
        </w:rPr>
        <w:t xml:space="preserve"> </w:t>
      </w:r>
      <w:r>
        <w:fldChar w:fldCharType="begin"/>
      </w:r>
      <w:r>
        <w:instrText> HYPERLINK "http://www.planalto.gov.br/ccivil_03/_ato2019-2022/2021/lei/L14133.htm" \l "art16"</w:instrText>
      </w:r>
      <w:r>
        <w:fldChar w:fldCharType="separate"/>
      </w:r>
      <w:r>
        <w:rPr>
          <w:rStyle w:val="LinkdaInternet"/>
          <w:rFonts w:eastAsia="Times New Roman"/>
        </w:rPr>
        <w:t xml:space="preserve">artigo </w:t>
      </w:r>
      <w:r>
        <w:fldChar w:fldCharType="end"/>
      </w:r>
      <w:r>
        <w:rPr>
          <w:rStyle w:val="LinkdaInternet"/>
        </w:rPr>
        <w:t>16 da Lei nº 14.133, de 2021</w:t>
      </w:r>
      <w:r>
        <w:rPr>
          <w:rStyle w:val="LinkdaInternet"/>
        </w:rPr>
      </w:r>
      <w:commentRangeEnd w:id="4"/>
      <w:r>
        <w:commentReference w:id="4"/>
      </w:r>
      <w:r>
        <w:rPr>
          <w:color w:val="00000A"/>
        </w:rPr>
        <w:t xml:space="preserve">, para o agricultor familiar, o produtor rural pessoa física e para o microempreendedor individual - MEI, nos limites previstos da </w:t>
      </w:r>
      <w:hyperlink r:id="rId7">
        <w:r>
          <w:rPr>
            <w:webHidden/>
            <w:rStyle w:val="LinkdaInternet"/>
            <w:vanish/>
          </w:rPr>
          <w:t>Lei Complementar nº 123, de 2006</w:t>
        </w:r>
      </w:hyperlink>
      <w:r>
        <w:rPr>
          <w:color w:val="00000A"/>
        </w:rPr>
        <w:t xml:space="preserve"> e do Decreto n.º 8.538, de 2015.</w:t>
      </w:r>
    </w:p>
    <w:p>
      <w:pPr>
        <w:pStyle w:val="Nivel2"/>
        <w:numPr>
          <w:ilvl w:val="1"/>
          <w:numId w:val="1"/>
        </w:numPr>
        <w:ind w:left="0" w:hanging="0"/>
        <w:rPr/>
      </w:pPr>
      <w:bookmarkStart w:id="7" w:name="_Ref117000692"/>
      <w:bookmarkEnd w:id="7"/>
      <w:r>
        <w:rPr/>
        <w:t>Não poderão disputar esta licitação:</w:t>
      </w:r>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8" w:name="_Ref114659912"/>
      <w:bookmarkStart w:id="9" w:name="_Ref113883338"/>
      <w:bookmarkEnd w:id="8"/>
      <w:bookmarkEnd w:id="9"/>
      <w:r>
        <w:rPr/>
        <w:t>autor do anteprojeto, do projeto básico ou do projeto executivo, pessoa física ou jurídica, quando a licitação versar sobre serviços ou fornecimento de bens a ele relacionados;</w:t>
      </w:r>
    </w:p>
    <w:p>
      <w:pPr>
        <w:pStyle w:val="Nivel3"/>
        <w:numPr>
          <w:ilvl w:val="2"/>
          <w:numId w:val="1"/>
        </w:numPr>
        <w:ind w:left="284" w:hanging="0"/>
        <w:rPr/>
      </w:pPr>
      <w:bookmarkStart w:id="10" w:name="_Ref113883339"/>
      <w:bookmarkStart w:id="11"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r>
        <w:rPr/>
        <w:t xml:space="preserve"> </w:t>
      </w:r>
    </w:p>
    <w:p>
      <w:pPr>
        <w:pStyle w:val="Nivel3"/>
        <w:numPr>
          <w:ilvl w:val="2"/>
          <w:numId w:val="1"/>
        </w:numPr>
        <w:ind w:left="284" w:hanging="0"/>
        <w:rPr/>
      </w:pPr>
      <w:bookmarkStart w:id="12" w:name="_Ref113883003"/>
      <w:bookmarkEnd w:id="12"/>
      <w:r>
        <w:rPr/>
        <w:t>pessoa física ou jurídica que se encontre, ao tempo da licitação, impossibilitada de participar da licitação em decorrência de sanção que lhe foi imposta;</w:t>
      </w:r>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3" w:name="_Ref113883579"/>
      <w:bookmarkEnd w:id="13"/>
      <w:r>
        <w:rPr/>
        <w:t>empresas controladoras, controladas ou coligadas, nos termos da Lei nº 6.404, de 15 de dezembro de 1976, concorrendo entre si;</w:t>
      </w:r>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4" w:name="_Ref113962336"/>
      <w:bookmarkEnd w:id="14"/>
      <w:r>
        <w:rPr/>
        <w:t>agente público do órgão ou entidade licitante;</w:t>
      </w:r>
    </w:p>
    <w:p>
      <w:pPr>
        <w:pStyle w:val="Nvel3R"/>
        <w:numPr>
          <w:ilvl w:val="0"/>
          <w:numId w:val="1"/>
        </w:numPr>
        <w:rPr/>
      </w:pPr>
      <w:commentRangeStart w:id="5"/>
      <w:r>
        <w:rPr>
          <w:color w:val="000000"/>
        </w:rPr>
        <w:t>pessoas jurídicas reunidas em consórcio;</w:t>
      </w:r>
      <w:commentRangeEnd w:id="5"/>
      <w:r>
        <w:commentReference w:id="5"/>
      </w:r>
      <w:r>
        <w:rPr>
          <w:color w:val="000000"/>
        </w:rPr>
      </w:r>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HYPERLINK "http://www.planalto.gov.br/ccivil_03/_ato2019-2022/2021/lei/L14133.htm" \l "art9§1"</w:instrText>
      </w:r>
      <w:r>
        <w:fldChar w:fldCharType="separate"/>
      </w:r>
      <w:r>
        <w:rPr>
          <w:rStyle w:val="LinkdaInternet"/>
        </w:rPr>
        <w:t>§ 1º do art. 9º da Lei nº 14.133, de 2021</w:t>
      </w:r>
      <w:r>
        <w:fldChar w:fldCharType="end"/>
      </w:r>
      <w:r>
        <w:rPr/>
        <w:t>.</w:t>
      </w:r>
    </w:p>
    <w:p>
      <w:pPr>
        <w:pStyle w:val="Nivel2"/>
        <w:numPr>
          <w:ilvl w:val="1"/>
          <w:numId w:val="1"/>
        </w:numPr>
        <w:ind w:left="0" w:hanging="0"/>
        <w:rPr/>
      </w:pPr>
      <w:r>
        <w:rPr/>
        <w:t xml:space="preserve">O impedimento de que trata o item </w:t>
      </w:r>
      <w:r>
        <w:rPr/>
        <w:fldChar w:fldCharType="begin"/>
      </w:r>
      <w:r>
        <w:instrText> REF _Ref113883003 \r \h </w:instrText>
      </w:r>
      <w:r>
        <w:fldChar w:fldCharType="separate"/>
      </w:r>
      <w:r>
        <w:t>6.2.4</w:t>
      </w:r>
      <w: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5" w:name="art14%252525252525252525C2%2525252525252"/>
      <w:bookmarkEnd w:id="15"/>
      <w:r>
        <w:rPr/>
        <w:t xml:space="preserve">A critério da Administração e exclusivamente a seu serviço, o autor dos projetos e a empresa a que se referem os itens </w:t>
      </w:r>
      <w:r>
        <w:rPr/>
        <w:fldChar w:fldCharType="begin"/>
      </w:r>
      <w:r>
        <w:instrText> REF _Ref114659912 \r \h </w:instrText>
      </w:r>
      <w:r>
        <w:fldChar w:fldCharType="separate"/>
      </w:r>
      <w:r>
        <w:t>6.2.2</w:t>
      </w:r>
      <w:r>
        <w:fldChar w:fldCharType="end"/>
      </w:r>
      <w:r>
        <w:rPr/>
        <w:t xml:space="preserve"> e </w:t>
      </w:r>
      <w:r>
        <w:rPr/>
        <w:fldChar w:fldCharType="begin"/>
      </w:r>
      <w:r>
        <w:instrText> REF _Ref114659913 \r \h </w:instrText>
      </w:r>
      <w:r>
        <w:fldChar w:fldCharType="separate"/>
      </w:r>
      <w:r>
        <w:t>6.2.3</w:t>
      </w:r>
      <w: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6" w:name="art14%252525252525252525C2%25252525252521"/>
      <w:bookmarkEnd w:id="16"/>
      <w:r>
        <w:rPr/>
        <w:t>Equiparam-se aos autores do projeto as empresas integrantes do mesmo grupo econômico.</w:t>
      </w:r>
    </w:p>
    <w:p>
      <w:pPr>
        <w:pStyle w:val="Nivel2"/>
        <w:numPr>
          <w:ilvl w:val="1"/>
          <w:numId w:val="1"/>
        </w:numPr>
        <w:ind w:left="0" w:hanging="0"/>
        <w:rPr/>
      </w:pPr>
      <w:bookmarkStart w:id="17" w:name="art14%252525252525252525C2%25252525252522"/>
      <w:bookmarkEnd w:id="17"/>
      <w:r>
        <w:rPr/>
        <w:t xml:space="preserve">O disposto nos itens </w:t>
      </w:r>
      <w:r>
        <w:rPr/>
        <w:fldChar w:fldCharType="begin"/>
      </w:r>
      <w:r>
        <w:instrText> REF _Ref114659912 \r \h </w:instrText>
      </w:r>
      <w:r>
        <w:fldChar w:fldCharType="separate"/>
      </w:r>
      <w:r>
        <w:t>6.2.2</w:t>
      </w:r>
      <w:r>
        <w:fldChar w:fldCharType="end"/>
      </w:r>
      <w:r>
        <w:rPr/>
        <w:t xml:space="preserve"> e </w:t>
      </w:r>
      <w:r>
        <w:rPr/>
        <w:fldChar w:fldCharType="begin"/>
      </w:r>
      <w:r>
        <w:instrText> REF _Ref114659913 \r \h </w:instrText>
      </w:r>
      <w:r>
        <w:fldChar w:fldCharType="separate"/>
      </w:r>
      <w:r>
        <w:t>6.2.3</w:t>
      </w:r>
      <w: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8" w:name="art14%252525252525252525C2%25252525252523"/>
      <w:bookmarkEnd w:id="18"/>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webHidden/>
            <w:rStyle w:val="LinkdaInternet"/>
            <w:vanish/>
          </w:rPr>
          <w:t>Lei nº 14.133/2021</w:t>
        </w:r>
      </w:hyperlink>
      <w:r>
        <w:rPr/>
        <w:t>.</w:t>
      </w:r>
    </w:p>
    <w:p>
      <w:pPr>
        <w:pStyle w:val="Nivel2"/>
        <w:numPr>
          <w:ilvl w:val="1"/>
          <w:numId w:val="1"/>
        </w:numPr>
        <w:ind w:left="0" w:hanging="0"/>
        <w:rPr/>
      </w:pPr>
      <w:r>
        <w:rPr/>
        <w:t xml:space="preserve">A vedação de que trata o item </w:t>
      </w:r>
      <w:r>
        <w:rPr/>
        <w:fldChar w:fldCharType="begin"/>
      </w:r>
      <w:r>
        <w:instrText> REF _Ref113962336 \r \h </w:instrText>
      </w:r>
      <w:r>
        <w:fldChar w:fldCharType="separate"/>
      </w:r>
      <w:r>
        <w:t>6.2.8</w:t>
      </w:r>
      <w: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9" w:name="_Toc135469226"/>
      <w:bookmarkEnd w:id="19"/>
      <w:r>
        <w:rPr/>
        <w:t>DA APRESENTAÇÃO DA PROPOSTA E DOS DOCUMENTOS DE HABILITAÇÃO</w:t>
      </w:r>
    </w:p>
    <w:p>
      <w:pPr>
        <w:pStyle w:val="Nvel2Red"/>
        <w:numPr>
          <w:ilvl w:val="0"/>
          <w:numId w:val="1"/>
        </w:numPr>
        <w:rPr/>
      </w:pPr>
      <w:commentRangeStart w:id="6"/>
      <w:r>
        <w:rPr>
          <w:color w:val="000000"/>
        </w:rPr>
        <w:t>Na presente licitação, a fase de habilitação sucederá as fases de apresentação de propostas e lances e de julgamento.</w:t>
      </w:r>
      <w:commentRangeEnd w:id="6"/>
      <w:r>
        <w:commentReference w:id="6"/>
      </w:r>
      <w:r>
        <w:rPr>
          <w:color w:val="000000"/>
        </w:rPr>
      </w:r>
    </w:p>
    <w:p>
      <w:pPr>
        <w:pStyle w:val="Nivel2"/>
        <w:numPr>
          <w:ilvl w:val="1"/>
          <w:numId w:val="1"/>
        </w:numPr>
        <w:ind w:left="0" w:hanging="0"/>
        <w:rPr/>
      </w:pPr>
      <w:bookmarkStart w:id="20" w:name="_Ref113886867"/>
      <w:bookmarkEnd w:id="20"/>
      <w:r>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ivel2"/>
        <w:numPr>
          <w:ilvl w:val="1"/>
          <w:numId w:val="1"/>
        </w:numPr>
        <w:ind w:left="0" w:hanging="0"/>
        <w:rPr/>
      </w:pPr>
      <w:bookmarkStart w:id="21"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w:t>
      </w:r>
      <w:r>
        <w:rPr>
          <w:strike/>
        </w:rPr>
        <w:t>ou o percentual de desconto</w:t>
      </w:r>
      <w:r>
        <w:rPr/>
        <w:t xml:space="preserve">, observado o disposto nos itens </w:t>
      </w:r>
      <w:r>
        <w:rPr/>
        <w:fldChar w:fldCharType="begin"/>
      </w:r>
      <w:r>
        <w:instrText> REF _Ref114663777 \r \h </w:instrText>
      </w:r>
      <w:r>
        <w:fldChar w:fldCharType="separate"/>
      </w:r>
      <w:r>
        <w:t>16.1.1</w:t>
      </w:r>
      <w:r>
        <w:fldChar w:fldCharType="end"/>
      </w:r>
      <w:r>
        <w:rPr/>
        <w:t xml:space="preserve"> e </w:t>
      </w:r>
      <w:r>
        <w:rPr/>
        <w:fldChar w:fldCharType="begin"/>
      </w:r>
      <w:r>
        <w:instrText> REF _Ref114663151 \r \h </w:instrText>
      </w:r>
      <w:r>
        <w:fldChar w:fldCharType="separate"/>
      </w:r>
      <w:r>
        <w:t>16.12.1</w:t>
      </w:r>
      <w:r>
        <w:fldChar w:fldCharType="end"/>
      </w:r>
      <w:bookmarkEnd w:id="21"/>
      <w:r>
        <w:rPr/>
        <w:t xml:space="preserve"> deste Edital.</w:t>
      </w:r>
    </w:p>
    <w:p>
      <w:pPr>
        <w:pStyle w:val="Nivel2"/>
        <w:numPr>
          <w:ilvl w:val="1"/>
          <w:numId w:val="1"/>
        </w:numPr>
        <w:ind w:left="0" w:hanging="0"/>
        <w:rPr/>
      </w:pPr>
      <w:bookmarkStart w:id="22" w:name="_Ref113968921"/>
      <w:bookmarkEnd w:id="22"/>
      <w:r>
        <w:rPr/>
        <w:t>No cadastramento da proposta inicial, o licitante declarará, em campo próprio do sistema, que:</w:t>
      </w:r>
    </w:p>
    <w:p>
      <w:pPr>
        <w:pStyle w:val="Nivel3"/>
        <w:widowControl/>
        <w:numPr>
          <w:ilvl w:val="2"/>
          <w:numId w:val="1"/>
        </w:numPr>
        <w:bidi w:val="0"/>
        <w:spacing w:lineRule="auto" w:line="312" w:before="288" w:after="288"/>
        <w:ind w:left="283" w:right="0" w:hanging="0"/>
        <w:jc w:val="both"/>
        <w:rPr/>
      </w:pPr>
      <w:r>
        <w:rPr>
          <w:color w:val="00000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instrText> HYPERLINK "https://www.planalto.gov.br/ccivil_03/constituicao/constituicaocompilado.htm" \l "art7"</w:instrText>
      </w:r>
      <w:r>
        <w:fldChar w:fldCharType="separate"/>
      </w:r>
      <w:r>
        <w:rPr>
          <w:rStyle w:val="LinkdaInternet"/>
        </w:rPr>
        <w:t>artigo 7°, XXXIII, da Constituição</w:t>
      </w:r>
      <w: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9">
        <w:r>
          <w:rPr>
            <w:webHidden/>
            <w:rStyle w:val="LinkdaInternet"/>
            <w:vanish/>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instrText> HYPERLINK "http://www.planalto.gov.br/ccivil_03/_ato2019-2022/2021/lei/L14133.htm" \l "art16"</w:instrText>
      </w:r>
      <w:r>
        <w:fldChar w:fldCharType="separate"/>
      </w:r>
      <w:r>
        <w:rPr>
          <w:rStyle w:val="LinkdaInternet"/>
        </w:rPr>
        <w:t>artigo 16 da Lei nº 14.133, de 2021</w:t>
      </w:r>
      <w:r>
        <w:fldChar w:fldCharType="end"/>
      </w:r>
      <w:r>
        <w:rPr/>
        <w:t>.</w:t>
      </w:r>
    </w:p>
    <w:p>
      <w:pPr>
        <w:pStyle w:val="Nivel2"/>
        <w:numPr>
          <w:ilvl w:val="1"/>
          <w:numId w:val="1"/>
        </w:numPr>
        <w:ind w:left="0" w:hanging="0"/>
        <w:rPr/>
      </w:pPr>
      <w:bookmarkStart w:id="23"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instrText> HYPERLINK "https://www.planalto.gov.br/ccivil_03/leis/lcp/lcp123.htm" \l "art3"</w:instrText>
      </w:r>
      <w:r>
        <w:fldChar w:fldCharType="separate"/>
      </w:r>
      <w:r>
        <w:rPr>
          <w:rStyle w:val="LinkdaInternet"/>
        </w:rPr>
        <w:t>artigo 3° da Lei Complementar nº 123, de 2006</w:t>
      </w:r>
      <w:r>
        <w:fldChar w:fldCharType="end"/>
      </w:r>
      <w:r>
        <w:rPr/>
        <w:t xml:space="preserve">, estando apto a usufruir do tratamento favorecido estabelecido em seus </w:t>
      </w:r>
      <w:r>
        <w:fldChar w:fldCharType="begin"/>
      </w:r>
      <w:r>
        <w:instrText> HYPERLINK "https://www.planalto.gov.br/ccivil_03/leis/lcp/lcp123.htm" \l "art42"</w:instrText>
      </w:r>
      <w:r>
        <w:fldChar w:fldCharType="separate"/>
      </w:r>
      <w:bookmarkEnd w:id="23"/>
      <w:r>
        <w:rPr>
          <w:rStyle w:val="LinkdaInternet"/>
        </w:rPr>
        <w:t>arts. 42 a 49</w:t>
      </w:r>
      <w:r>
        <w:fldChar w:fldCharType="end"/>
      </w:r>
      <w:r>
        <w:rPr/>
        <w:t xml:space="preserve">, observado o disposto nos </w:t>
      </w:r>
      <w:r>
        <w:fldChar w:fldCharType="begin"/>
      </w:r>
      <w:r>
        <w:instrText> HYPERLINK "http://www.planalto.gov.br/ccivil_03/_ato2019-2022/2021/lei/L14133.htm" \l "art4§1"</w:instrText>
      </w:r>
      <w:r>
        <w:fldChar w:fldCharType="separate"/>
      </w:r>
      <w:r>
        <w:rPr>
          <w:rStyle w:val="LinkdaInternet"/>
        </w:rPr>
        <w:t>§§ 1º ao 3º do art. 4º, da Lei n.º 14.133, de 2021.</w:t>
      </w:r>
      <w:r>
        <w:fldChar w:fldCharType="end"/>
      </w:r>
    </w:p>
    <w:p>
      <w:pPr>
        <w:pStyle w:val="Nivel3"/>
        <w:numPr>
          <w:ilvl w:val="2"/>
          <w:numId w:val="1"/>
        </w:numPr>
        <w:ind w:left="284" w:hanging="0"/>
        <w:rPr/>
      </w:pPr>
      <w:commentRangeStart w:id="7"/>
      <w: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webHidden/>
            <w:rStyle w:val="LinkdaInternet"/>
            <w:vanish/>
          </w:rPr>
          <w:t>Lei Complementar nº 123, de 2006</w:t>
        </w:r>
      </w:hyperlink>
      <w:r>
        <w:rPr/>
        <w:t>, mesmo que microempresa, empresa de pequeno porte ou sociedade cooperativa.</w:t>
      </w:r>
      <w:commentRangeEnd w:id="7"/>
      <w:r>
        <w:commentReference w:id="7"/>
      </w:r>
      <w:r>
        <w:rPr/>
      </w:r>
    </w:p>
    <w:p>
      <w:pPr>
        <w:pStyle w:val="Nivel2"/>
        <w:numPr>
          <w:ilvl w:val="1"/>
          <w:numId w:val="1"/>
        </w:numPr>
        <w:ind w:left="0" w:hanging="0"/>
        <w:rPr/>
      </w:pPr>
      <w:r>
        <w:rPr/>
        <w:t xml:space="preserve">A falsidade da declaração de que trata os itens </w:t>
      </w:r>
      <w:r>
        <w:rPr/>
        <w:fldChar w:fldCharType="begin"/>
      </w:r>
      <w:r>
        <w:instrText> REF _Ref113968921 \r \h </w:instrText>
      </w:r>
      <w:r>
        <w:fldChar w:fldCharType="separate"/>
      </w:r>
      <w:r>
        <w:t>9.3</w:t>
      </w:r>
      <w:r>
        <w:fldChar w:fldCharType="end"/>
      </w:r>
      <w:r>
        <w:rPr/>
        <w:t xml:space="preserve"> ou </w:t>
      </w:r>
      <w:r>
        <w:rPr/>
        <w:fldChar w:fldCharType="begin"/>
      </w:r>
      <w:r>
        <w:instrText> REF _Ref117000019 \r \h </w:instrText>
      </w:r>
      <w:r>
        <w:fldChar w:fldCharType="separate"/>
      </w:r>
      <w:r>
        <w:t>9.5</w:t>
      </w:r>
      <w:r>
        <w:fldChar w:fldCharType="end"/>
      </w:r>
      <w:r>
        <w:rPr/>
        <w:t xml:space="preserve"> sujeitará o licitante às sanções previstas na </w:t>
      </w:r>
      <w:hyperlink r:id="rId11">
        <w:r>
          <w:rPr>
            <w:webHidden/>
            <w:rStyle w:val="LinkdaInternet"/>
            <w:vanish/>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4" w:name="_Ref116992247"/>
      <w:bookmarkEnd w:id="24"/>
      <w:r>
        <w:rPr/>
        <w:t>Desde que disponibilizada a funcionalidade no sistema, o licitante poderá parametrizar o seu valor final mínimo ou o seu percentual de desconto máximo quando do cadastramento da proposta e obedecerá às seguintes regras:</w:t>
      </w:r>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commentRangeStart w:id="8"/>
      <w:r>
        <w:rPr/>
        <w:t>os lances serão de envio automático pelo sistema, respeitado o valor final mínimo, caso estabelecido, e o intervalo de que trata o subitem acima.</w:t>
      </w:r>
      <w:commentRangeEnd w:id="8"/>
      <w:r>
        <w:commentReference w:id="8"/>
      </w:r>
      <w:r>
        <w:rPr/>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commentRangeStart w:id="9"/>
      <w:r>
        <w:rPr/>
        <w:t>percentual de desconto inferior a lance já registrado pelo fornecedor no sistema, quando adotado o critério de julgamento por maior desconto.</w:t>
      </w:r>
      <w:commentRangeEnd w:id="9"/>
      <w:r>
        <w:commentReference w:id="9"/>
      </w:r>
      <w:r>
        <w:rPr/>
      </w:r>
    </w:p>
    <w:p>
      <w:pPr>
        <w:pStyle w:val="Nivel2"/>
        <w:numPr>
          <w:ilvl w:val="1"/>
          <w:numId w:val="1"/>
        </w:numPr>
        <w:ind w:left="0" w:hanging="0"/>
        <w:rPr/>
      </w:pPr>
      <w:r>
        <w:rPr/>
        <w:t xml:space="preserve">O valor final mínimo ou o percentual de desconto final máximo parametrizado na forma do item </w:t>
      </w:r>
      <w:r>
        <w:rPr/>
        <w:fldChar w:fldCharType="begin"/>
      </w:r>
      <w:r>
        <w:instrText> REF _Ref116992247 \r \h </w:instrText>
      </w:r>
      <w:r>
        <w:fldChar w:fldCharType="separate"/>
      </w:r>
      <w:r>
        <w:t>9.10</w:t>
      </w:r>
      <w: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5" w:name="_Toc135469227"/>
      <w:bookmarkEnd w:id="25"/>
      <w:r>
        <w:rPr/>
        <w:t>DO PREENCHIMENTO DA PROPOSTA</w:t>
      </w:r>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0"/>
          <w:numId w:val="1"/>
        </w:numPr>
        <w:rPr>
          <w:color w:val="000000"/>
        </w:rPr>
      </w:pPr>
      <w:commentRangeStart w:id="10"/>
      <w:r>
        <w:rPr>
          <w:color w:val="000000"/>
        </w:rPr>
        <w:t>valor unitário total do item;</w:t>
      </w:r>
    </w:p>
    <w:p>
      <w:pPr>
        <w:pStyle w:val="Nivel3"/>
        <w:numPr>
          <w:ilvl w:val="2"/>
          <w:numId w:val="1"/>
        </w:numPr>
        <w:ind w:left="284" w:hanging="0"/>
        <w:rPr/>
      </w:pPr>
      <w:r>
        <w:rPr/>
        <w:t>Marca;</w:t>
      </w:r>
    </w:p>
    <w:p>
      <w:pPr>
        <w:pStyle w:val="Nvel3R"/>
        <w:numPr>
          <w:ilvl w:val="0"/>
          <w:numId w:val="1"/>
        </w:numPr>
        <w:rPr/>
      </w:pPr>
      <w:r>
        <w:rPr>
          <w:color w:val="000000"/>
        </w:rPr>
        <w:t>Fabricante</w:t>
      </w:r>
      <w:r>
        <w:rPr/>
        <w:t xml:space="preserve">; </w:t>
      </w:r>
      <w:commentRangeEnd w:id="10"/>
      <w:r>
        <w:commentReference w:id="10"/>
      </w:r>
      <w:r>
        <w:rPr/>
      </w:r>
    </w:p>
    <w:p>
      <w:pPr>
        <w:pStyle w:val="Nivel3"/>
        <w:numPr>
          <w:ilvl w:val="2"/>
          <w:numId w:val="1"/>
        </w:numPr>
        <w:ind w:left="284" w:hanging="0"/>
        <w:rPr/>
      </w:pPr>
      <w:r>
        <w:rPr>
          <w:rStyle w:val="Normaltextrun"/>
          <w:i/>
          <w:iCs/>
          <w:color w:val="000000"/>
          <w:u w:val="single"/>
          <w:shd w:fill="auto" w:val="clear"/>
        </w:rPr>
        <w:t>Quantidade cotada</w:t>
      </w:r>
      <w:r>
        <w:rPr>
          <w:rStyle w:val="Normaltextrun"/>
          <w:i/>
          <w:iCs/>
          <w:color w:val="000000"/>
          <w:u w:val="none"/>
          <w:shd w:fill="auto" w:val="clear"/>
        </w:rPr>
        <w:t xml:space="preserve">, </w:t>
      </w:r>
      <w:r>
        <w:rPr>
          <w:rStyle w:val="Normaltextrun"/>
          <w:color w:val="000000"/>
        </w:rPr>
        <w:t>devendo</w:t>
      </w:r>
      <w:r>
        <w:rPr>
          <w:rStyle w:val="Normaltextrun"/>
          <w:i/>
          <w:iCs/>
          <w:color w:val="000000"/>
          <w:u w:val="none"/>
          <w:shd w:fill="auto" w:val="clear"/>
        </w:rPr>
        <w:t xml:space="preserve"> </w:t>
      </w:r>
      <w:r>
        <w:rPr>
          <w:rStyle w:val="Normaltextrun"/>
          <w:b/>
          <w:bCs/>
          <w:i/>
          <w:iCs/>
          <w:color w:val="000000"/>
          <w:u w:val="single"/>
          <w:shd w:fill="auto" w:val="clear"/>
        </w:rPr>
        <w:t>respeitar o mínimo expresso na coluna “Requisição Mínima” do Apêndice B ao Termo de Referência – Anexo I do Edital</w:t>
      </w:r>
      <w:r>
        <w:rPr>
          <w:rStyle w:val="Normaltextrun"/>
          <w:i/>
          <w:iCs/>
          <w:color w:val="000000"/>
          <w:u w:val="none"/>
          <w:shd w:fill="auto" w:val="clear"/>
        </w:rPr>
        <w:t xml:space="preserve">. </w:t>
      </w:r>
    </w:p>
    <w:p>
      <w:pPr>
        <w:pStyle w:val="Nivel2"/>
        <w:numPr>
          <w:ilvl w:val="1"/>
          <w:numId w:val="1"/>
        </w:numPr>
        <w:ind w:left="0" w:hanging="0"/>
        <w:rPr/>
      </w:pPr>
      <w:r>
        <w:rPr/>
        <w:t>Todas as especificações do objeto contidas na proposta vinculam o licitante.</w:t>
      </w:r>
    </w:p>
    <w:p>
      <w:pPr>
        <w:pStyle w:val="Nivel3"/>
        <w:numPr>
          <w:ilvl w:val="2"/>
          <w:numId w:val="1"/>
        </w:numPr>
        <w:ind w:left="284" w:hanging="0"/>
        <w:rPr/>
      </w:pPr>
      <w:r>
        <w:rPr/>
        <w:t xml:space="preserve"> </w:t>
      </w:r>
      <w:r>
        <w:rPr>
          <w:rStyle w:val="Normaltextrun"/>
          <w:i/>
          <w:iCs/>
          <w:color w:val="000000"/>
          <w:u w:val="single"/>
          <w:shd w:fill="auto" w:val="clear"/>
        </w:rPr>
        <w:t xml:space="preserve">O licitante poderá </w:t>
      </w:r>
      <w:r>
        <w:rPr>
          <w:rStyle w:val="Normaltextrun"/>
          <w:color w:val="000000"/>
        </w:rPr>
        <w:t>oferecer</w:t>
      </w:r>
      <w:r>
        <w:rPr>
          <w:rStyle w:val="Normaltextrun"/>
          <w:i/>
          <w:iCs/>
          <w:color w:val="000000"/>
          <w:u w:val="single"/>
          <w:shd w:fill="auto" w:val="clear"/>
        </w:rPr>
        <w:t xml:space="preserve"> proposta em quantitativo inferior ao máximo previsto para </w:t>
      </w:r>
      <w:commentRangeStart w:id="11"/>
      <w:r>
        <w:rPr>
          <w:rStyle w:val="Normaltextrun"/>
          <w:i/>
          <w:iCs/>
          <w:color w:val="000000"/>
          <w:u w:val="single"/>
          <w:shd w:fill="auto" w:val="clear"/>
        </w:rPr>
        <w:t>contratação</w:t>
      </w:r>
      <w:r>
        <w:rPr>
          <w:rStyle w:val="Normaltextrun"/>
          <w:i/>
          <w:iCs/>
          <w:color w:val="000000"/>
          <w:u w:val="single"/>
          <w:shd w:fill="auto" w:val="clear"/>
        </w:rPr>
      </w:r>
      <w:commentRangeEnd w:id="11"/>
      <w:r>
        <w:commentReference w:id="11"/>
      </w:r>
      <w:r>
        <w:rPr>
          <w:rStyle w:val="Normaltextrun"/>
          <w:i/>
          <w:iCs/>
          <w:color w:val="000000"/>
          <w:u w:val="none"/>
          <w:shd w:fill="auto" w:val="clear"/>
        </w:rPr>
        <w:t>.</w:t>
      </w:r>
    </w:p>
    <w:p>
      <w:pPr>
        <w:pStyle w:val="Nivel2"/>
        <w:numPr>
          <w:ilvl w:val="1"/>
          <w:numId w:val="1"/>
        </w:numPr>
        <w:ind w:left="0" w:hanging="0"/>
        <w:rPr/>
      </w:pPr>
      <w:r>
        <w:rPr>
          <w:color w:val="000000"/>
        </w:rPr>
        <w:t>Nos valores propostos estarão inclusos todos os custos operacionais, encargos previdenciários, trabalhistas, tributário</w:t>
      </w:r>
      <w:r>
        <w:rPr/>
        <w:t>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0"/>
          <w:numId w:val="1"/>
        </w:numPr>
        <w:rPr/>
      </w:pPr>
      <w:commentRangeStart w:id="12"/>
      <w:r>
        <w:rPr>
          <w:color w:val="000000"/>
        </w:rPr>
        <w:t>Na presente licitação, a Microempresa e a Empresa de Pequeno Porte poderão se beneficiar do regime de tributação pelo Simples Nacional</w:t>
      </w:r>
      <w:r>
        <w:rPr>
          <w:color w:val="000000"/>
        </w:rPr>
      </w:r>
      <w:commentRangeEnd w:id="12"/>
      <w:r>
        <w:commentReference w:id="12"/>
      </w:r>
      <w:r>
        <w:rPr/>
        <w:t>.</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commentRangeStart w:id="13"/>
      <w:r>
        <w:rPr/>
        <w:t xml:space="preserve">O prazo de validade da proposta não será inferior a </w:t>
      </w:r>
      <w:r>
        <w:rPr>
          <w:b/>
          <w:bCs/>
          <w:color w:val="FF0000"/>
        </w:rPr>
        <w:t>120 (cento e vinte)</w:t>
      </w:r>
      <w:r>
        <w:rPr>
          <w:color w:val="FF0000"/>
        </w:rPr>
        <w:t xml:space="preserve"> </w:t>
      </w:r>
      <w:r>
        <w:rPr/>
        <w:t>dias</w:t>
      </w:r>
      <w:r>
        <w:rPr>
          <w:b/>
        </w:rPr>
        <w:t>,</w:t>
      </w:r>
      <w:r>
        <w:rPr/>
        <w:t xml:space="preserve"> a contar da data de sua apresentação.</w:t>
      </w:r>
      <w:commentRangeEnd w:id="13"/>
      <w:r>
        <w:commentReference w:id="13"/>
      </w:r>
      <w:r>
        <w:rPr/>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2">
        <w:r>
          <w:rPr>
            <w:webHidden/>
            <w:rStyle w:val="LinkdaInternet"/>
            <w:vanish/>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highlight w:val="yellow"/>
        </w:rPr>
      </w:pPr>
      <w:r>
        <w:rPr>
          <w:highlight w:val="yellow"/>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r>
        <w:rPr/>
        <w:t>.</w:t>
      </w:r>
    </w:p>
    <w:p>
      <w:pPr>
        <w:pStyle w:val="Nivel2"/>
        <w:numPr>
          <w:ilvl w:val="1"/>
          <w:numId w:val="1"/>
        </w:numPr>
        <w:ind w:left="0" w:hanging="0"/>
        <w:rPr>
          <w:highlight w:val="yellow"/>
        </w:rPr>
      </w:pPr>
      <w:r>
        <w:rPr>
          <w:highlight w:val="yellow"/>
        </w:rPr>
        <w:t>Em todo caso, deverá ser garantido o pagamento do salário normativo previsto no instrumento coletivo aplicável ou do salário-mínimo vigente, o que for maior</w:t>
      </w:r>
      <w:r>
        <w:rPr/>
        <w:t>.</w:t>
      </w:r>
    </w:p>
    <w:p>
      <w:pPr>
        <w:pStyle w:val="Nivel01"/>
        <w:numPr>
          <w:ilvl w:val="0"/>
          <w:numId w:val="1"/>
        </w:numPr>
        <w:rPr/>
      </w:pPr>
      <w:bookmarkStart w:id="26" w:name="_Toc135469228"/>
      <w:bookmarkEnd w:id="26"/>
      <w:r>
        <w:rPr/>
        <w:t>DA ABERTURA DA SESSÃO, CLASSIFICAÇÃO DAS PROPOSTAS E FORMULAÇÃO DE LANCES</w:t>
      </w:r>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 xml:space="preserve">O lance deverá ser ofertado pelo valor unitário do </w:t>
      </w:r>
      <w:commentRangeStart w:id="14"/>
      <w:r>
        <w:rPr/>
        <w:t>item</w:t>
      </w:r>
      <w:commentRangeEnd w:id="14"/>
      <w:r>
        <w:commentReference w:id="14"/>
      </w:r>
      <w:r>
        <w:rPr/>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color w:val="000000"/>
        </w:rPr>
        <w:t xml:space="preserve">O licitante somente poderá oferecer lance </w:t>
      </w:r>
      <w:r>
        <w:rPr>
          <w:i/>
          <w:iCs/>
          <w:color w:val="000000"/>
        </w:rPr>
        <w:t>de valor</w:t>
      </w:r>
      <w:r>
        <w:rPr>
          <w:color w:val="000000"/>
        </w:rPr>
        <w:t xml:space="preserve"> </w:t>
      </w:r>
      <w:r>
        <w:rPr>
          <w:i/>
          <w:iCs/>
          <w:color w:val="000000"/>
        </w:rPr>
        <w:t>inferior</w:t>
      </w:r>
      <w:r>
        <w:rPr>
          <w:color w:val="000000"/>
        </w:rPr>
        <w:t xml:space="preserve"> ao último por ele ofertado e registrado pelo sistema.</w:t>
      </w:r>
      <w:r>
        <w:rPr/>
        <w:t xml:space="preserve"> </w:t>
      </w:r>
    </w:p>
    <w:p>
      <w:pPr>
        <w:pStyle w:val="Nivel2"/>
        <w:numPr>
          <w:ilvl w:val="1"/>
          <w:numId w:val="1"/>
        </w:numPr>
        <w:ind w:left="0" w:hanging="0"/>
        <w:rPr>
          <w:color w:val="000000"/>
        </w:rPr>
      </w:pPr>
      <w:commentRangeStart w:id="15"/>
      <w:r>
        <w:rPr>
          <w:color w:val="000000"/>
        </w:rPr>
        <w:t>O intervalo mínimo de diferença de valores ou percentuais entre os lances, que incidirá tanto em relação aos lances intermediários quanto em relação à proposta que cobrir a melhor oferta deverá ser</w:t>
      </w:r>
      <w:r>
        <w:rPr>
          <w:i/>
          <w:iCs/>
          <w:color w:val="000000"/>
        </w:rPr>
        <w:t xml:space="preserve"> de R$ 0,01 (um centavo de real).</w:t>
      </w:r>
      <w:commentRangeEnd w:id="15"/>
      <w:r>
        <w:commentReference w:id="15"/>
      </w:r>
      <w:r>
        <w:rPr>
          <w:i/>
          <w:iCs/>
          <w:color w:val="000000"/>
        </w:rPr>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commentRangeStart w:id="16"/>
      <w:r>
        <w:rPr/>
        <w:t>O procedimento seguirá de acordo com o modo de disputa adotado.</w:t>
      </w:r>
      <w:commentRangeEnd w:id="16"/>
      <w:r>
        <w:commentReference w:id="16"/>
      </w:r>
      <w:r>
        <w:rPr/>
      </w:r>
    </w:p>
    <w:p>
      <w:pPr>
        <w:pStyle w:val="Nivel2"/>
        <w:numPr>
          <w:ilvl w:val="1"/>
          <w:numId w:val="1"/>
        </w:numPr>
        <w:ind w:left="0" w:hanging="0"/>
        <w:rPr/>
      </w:pPr>
      <w:bookmarkStart w:id="27" w:name="_Hlk113697759"/>
      <w:bookmarkEnd w:id="27"/>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8" w:name="_Hlk1136977591"/>
      <w:bookmarkEnd w:id="28"/>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9" w:name="_Hlk113631522"/>
      <w:bookmarkStart w:id="30" w:name="_Hlk113697816"/>
      <w:bookmarkEnd w:id="29"/>
      <w:bookmarkEnd w:id="30"/>
      <w:r>
        <w:rPr/>
        <w:t>Após o reinício previsto no item supra, os licitantes serão convocados para apresentar lances intermediários.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Após o reinício previsto no subitem supra, os licitantes serão convocados para apresentar lances intermediários.</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instrText> HYPERLINK "https://www.planalto.gov.br/ccivil_03/leis/lcp/lcp123.htm" \l "art44"</w:instrText>
      </w:r>
      <w:r>
        <w:fldChar w:fldCharType="separate"/>
      </w:r>
      <w:r>
        <w:rPr>
          <w:rStyle w:val="LinkdaInternet"/>
          <w:rFonts w:eastAsia="Zurich BT"/>
        </w:rPr>
        <w:t>arts. 44 e 45 da Lei Complementar nº 123, de 2006</w:t>
      </w:r>
      <w:r>
        <w:fldChar w:fldCharType="end"/>
      </w:r>
      <w:r>
        <w:rPr>
          <w:rFonts w:eastAsia="Zurich BT"/>
        </w:rPr>
        <w:t xml:space="preserve">, regulamentada pelo </w:t>
      </w:r>
      <w:hyperlink r:id="rId13">
        <w:r>
          <w:rPr>
            <w:webHidden/>
            <w:rStyle w:val="LinkdaInternet"/>
            <w:rFonts w:eastAsia="Zurich BT"/>
            <w:vanish/>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instrText> HYPERLINK "http://www.planalto.gov.br/ccivil_03/_ato2019-2022/2021/lei/L14133.htm" \l "art60"</w:instrText>
      </w:r>
      <w:r>
        <w:fldChar w:fldCharType="separate"/>
      </w:r>
      <w:r>
        <w:rPr>
          <w:rStyle w:val="LinkdaInternet"/>
          <w:rFonts w:eastAsia="Arial"/>
        </w:rPr>
        <w:t>art</w:t>
      </w:r>
      <w: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1" w:name="art60%252525252525252525C2%2525252525252"/>
      <w:bookmarkEnd w:id="31"/>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2" w:name="art60%252525252525252525C2%25252525252521"/>
      <w:bookmarkEnd w:id="32"/>
      <w:r>
        <w:rPr/>
        <w:t>empresas brasileiras;</w:t>
      </w:r>
    </w:p>
    <w:p>
      <w:pPr>
        <w:pStyle w:val="Nivel4"/>
        <w:numPr>
          <w:ilvl w:val="3"/>
          <w:numId w:val="1"/>
        </w:numPr>
        <w:ind w:left="567" w:hanging="0"/>
        <w:rPr/>
      </w:pPr>
      <w:bookmarkStart w:id="33" w:name="art60%252525252525252525C2%25252525252522"/>
      <w:bookmarkEnd w:id="33"/>
      <w:r>
        <w:rPr/>
        <w:t>empresas que invistam em pesquisa e no desenvolvimento de tecnologia no País;</w:t>
      </w:r>
    </w:p>
    <w:p>
      <w:pPr>
        <w:pStyle w:val="Nivel4"/>
        <w:numPr>
          <w:ilvl w:val="3"/>
          <w:numId w:val="1"/>
        </w:numPr>
        <w:ind w:left="567" w:hanging="0"/>
        <w:rPr/>
      </w:pPr>
      <w:bookmarkStart w:id="34" w:name="art60%252525252525252525C2%25252525252523"/>
      <w:bookmarkEnd w:id="34"/>
      <w:r>
        <w:rPr/>
        <w:t xml:space="preserve">empresas que comprovem a prática de mitigação, nos termos da </w:t>
      </w:r>
      <w:r>
        <w:fldChar w:fldCharType="begin"/>
      </w:r>
      <w:r>
        <w:instrText> HYPERLINK "https://www.planalto.gov.br/ccivil_03/_ato2007-2010/2009/lei/l12187.htm" \l ":~:text=LEI Nº 12.187%2C DE 29 DE DEZEMBRO DE 2009.&amp;text=Institui a Política Nacional sobre,PNMC e dá outras providências."</w:instrText>
      </w:r>
      <w:r>
        <w:fldChar w:fldCharType="separate"/>
      </w:r>
      <w:r>
        <w:rPr>
          <w:rStyle w:val="LinkdaInternet"/>
        </w:rPr>
        <w:t>Lei nº 12.187, de 29 de dezembro de 2009</w:t>
      </w:r>
      <w: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0"/>
          <w:numId w:val="0"/>
        </w:numPr>
        <w:ind w:left="644" w:hanging="0"/>
        <w:rPr>
          <w:highlight w:val="cyan"/>
        </w:rPr>
      </w:pPr>
      <w:r>
        <w:rPr>
          <w:highlight w:val="cyan"/>
        </w:rPr>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commentRangeStart w:id="17"/>
      <w:r>
        <w:rPr/>
        <w:t>O pregoeiro solicitará ao licitante mais bem classificado que, no prazo de</w:t>
      </w:r>
      <w:r>
        <w:rPr>
          <w:color w:val="000000"/>
        </w:rPr>
        <w:t xml:space="preserve"> 2 (duas) horas,</w:t>
      </w:r>
      <w:r>
        <w:rPr/>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bookmarkEnd w:id="35"/>
      <w:commentRangeEnd w:id="17"/>
      <w:r>
        <w:commentReference w:id="17"/>
      </w:r>
      <w:r>
        <w:rPr/>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6" w:name="_Hlk114646655"/>
      <w:bookmarkEnd w:id="36"/>
      <w:r>
        <w:rPr/>
        <w:t>Após a negociação do preço, o Pregoeiro iniciará a fase de aceitação e julgamento da proposta.</w:t>
      </w:r>
    </w:p>
    <w:p>
      <w:pPr>
        <w:pStyle w:val="Nivel01"/>
        <w:numPr>
          <w:ilvl w:val="0"/>
          <w:numId w:val="1"/>
        </w:numPr>
        <w:rPr/>
      </w:pPr>
      <w:bookmarkStart w:id="37" w:name="_Toc135469229"/>
      <w:bookmarkEnd w:id="37"/>
      <w:r>
        <w:rPr/>
        <w:t>DA FASE DE JULGAMENTO</w:t>
      </w:r>
    </w:p>
    <w:p>
      <w:pPr>
        <w:pStyle w:val="Nivel2"/>
        <w:numPr>
          <w:ilvl w:val="1"/>
          <w:numId w:val="1"/>
        </w:numPr>
        <w:ind w:left="0" w:hanging="0"/>
        <w:rPr/>
      </w:pPr>
      <w:bookmarkStart w:id="38"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instrText> HYPERLINK "http://www.planalto.gov.br/ccivil_03/_ato2019-2022/2021/lei/L14133.htm" \l "art14"</w:instrText>
      </w:r>
      <w:r>
        <w:fldChar w:fldCharType="separate"/>
      </w:r>
      <w:r>
        <w:rPr>
          <w:rStyle w:val="LinkdaInternet"/>
        </w:rPr>
        <w:t>art. 14 da Lei nº 14.133/2021</w:t>
      </w:r>
      <w:r>
        <w:fldChar w:fldCharType="end"/>
      </w:r>
      <w:r>
        <w:rPr/>
        <w:t xml:space="preserve">, legislação correlata e no item </w:t>
      </w:r>
      <w:r>
        <w:rPr/>
        <w:fldChar w:fldCharType="begin"/>
      </w:r>
      <w:r>
        <w:instrText> REF _Ref117000692 \r \h </w:instrText>
      </w:r>
      <w:r>
        <w:fldChar w:fldCharType="separate"/>
      </w:r>
      <w:r>
        <w:t>6.2</w:t>
      </w:r>
      <w:r>
        <w:fldChar w:fldCharType="end"/>
      </w:r>
      <w:r>
        <w:rPr/>
        <w:t xml:space="preserve"> do edital, </w:t>
      </w:r>
      <w:bookmarkEnd w:id="38"/>
      <w:r>
        <w:rPr>
          <w:color w:val="00000A"/>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commentRangeStart w:id="18"/>
      <w:r>
        <w:rPr>
          <w:lang w:eastAsia="ar-SA"/>
        </w:rPr>
        <w:t xml:space="preserve">SICAF;  </w:t>
      </w:r>
    </w:p>
    <w:p>
      <w:pPr>
        <w:pStyle w:val="Nivel3"/>
        <w:numPr>
          <w:ilvl w:val="2"/>
          <w:numId w:val="1"/>
        </w:numPr>
        <w:ind w:left="284" w:hanging="0"/>
        <w:rPr/>
      </w:pPr>
      <w:r>
        <w:rPr>
          <w:lang w:eastAsia="ar-SA"/>
        </w:rPr>
        <w:t>Cadastro Nacional de Empresas Inidôneas e Suspensas - CEIS, mantido pela Controladoria-Geral da União (</w:t>
      </w:r>
      <w:hyperlink r:id="rId14">
        <w:r>
          <w:rPr>
            <w:webHidden/>
            <w:rStyle w:val="LinkdaInternet"/>
            <w:vanish/>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5">
        <w:r>
          <w:rPr>
            <w:webHidden/>
            <w:rStyle w:val="LinkdaInternet"/>
            <w:vanish/>
            <w:lang w:eastAsia="ar-SA"/>
          </w:rPr>
          <w:t>https://www.portaltransparencia.gov.br/sancoes/cnep</w:t>
        </w:r>
      </w:hyperlink>
      <w:r>
        <w:rPr>
          <w:lang w:eastAsia="ar-SA"/>
        </w:rPr>
        <w:t>).</w:t>
      </w:r>
      <w:commentRangeEnd w:id="18"/>
      <w:r>
        <w:commentReference w:id="18"/>
      </w:r>
      <w:r>
        <w:rPr>
          <w:lang w:eastAsia="ar-SA"/>
        </w:rPr>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instrText> HYPERLINK "https://www.planalto.gov.br/ccivil_03/leis/l8429.htm" \l ":~:text=às seguintes cominações%3A-,Art.,nº 12.120%2C de 2009)."</w:instrText>
      </w:r>
      <w:r>
        <w:fldChar w:fldCharType="separate"/>
      </w:r>
      <w:r>
        <w:rPr>
          <w:rStyle w:val="LinkdaInternet"/>
        </w:rPr>
        <w:t>artigo 12 da Lei n° 8.429, de 1992</w:t>
      </w:r>
      <w:r>
        <w:fldChar w:fldCharType="end"/>
      </w:r>
      <w:r>
        <w:rPr/>
        <w:t>.</w:t>
      </w:r>
    </w:p>
    <w:p>
      <w:pPr>
        <w:pStyle w:val="Nivel2"/>
        <w:numPr>
          <w:ilvl w:val="1"/>
          <w:numId w:val="1"/>
        </w:numPr>
        <w:ind w:left="0" w:hanging="0"/>
        <w:rPr/>
      </w:pPr>
      <w:r>
        <w:rPr/>
        <w:t>Caso conste na Consulta de Situação do l</w:t>
      </w:r>
      <w:r>
        <w:rPr>
          <w:color w:val="00000A"/>
        </w:rPr>
        <w:t xml:space="preserve">icitante </w:t>
      </w:r>
      <w:r>
        <w:rPr/>
        <w:t xml:space="preserve">a existência de Ocorrências Impeditivas Indiretas, o </w:t>
      </w:r>
      <w:r>
        <w:rPr>
          <w:color w:val="00000A"/>
        </w:rPr>
        <w:t>Pregoeiro diligenciará para v</w:t>
      </w:r>
      <w:r>
        <w:rPr/>
        <w:t>erificar se houve fraude por parte das empresas apontadas no Relatório de Ocorrências Impeditivas Indiretas. (</w:t>
      </w:r>
      <w:r>
        <w:fldChar w:fldCharType="begin"/>
      </w:r>
      <w:r>
        <w:instrText> HYPERLINK "https://www.gov.br/compras/pt-br/acesso-a-informacao/legislacao/instrucoes-normativas/instrucao-normativa-no-3-de-26-de-abril-de-2018" \l "art29"</w:instrText>
      </w:r>
      <w:r>
        <w:fldChar w:fldCharType="separate"/>
      </w:r>
      <w:r>
        <w:rPr>
          <w:rStyle w:val="LinkdaInternet"/>
        </w:rPr>
        <w:t xml:space="preserve">IN nº 3/2018, art. 29, </w:t>
      </w:r>
      <w: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6">
        <w:r>
          <w:rPr>
            <w:webHidden/>
            <w:rStyle w:val="LinkdaInternet"/>
            <w:vanish/>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7">
        <w:r>
          <w:rPr>
            <w:webHidden/>
            <w:rStyle w:val="LinkdaInternet"/>
            <w:vanish/>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highlight w:val="yellow"/>
        </w:rPr>
      </w:pPr>
      <w:bookmarkStart w:id="39" w:name="_Hlk135317550"/>
      <w:bookmarkEnd w:id="39"/>
      <w:r>
        <w:rPr/>
        <w:t>Na hipótese de inversão das fases de habilitação e julgamento, caso atendidas as condições de participação, será iniciado o procedimento de habilitação.</w:t>
      </w:r>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instrText> REF _Ref117015508 \r \h </w:instrText>
      </w:r>
      <w:r>
        <w:fldChar w:fldCharType="separate"/>
      </w:r>
      <w:r>
        <w:t>6</w:t>
      </w:r>
      <w:r>
        <w:fldChar w:fldCharType="end"/>
      </w:r>
      <w:r>
        <w:rPr/>
        <w:t xml:space="preserve"> e </w:t>
      </w:r>
      <w:r>
        <w:rPr/>
        <w:fldChar w:fldCharType="begin"/>
      </w:r>
      <w:r>
        <w:instrText> REF _Ref117000019 \r \h </w:instrText>
      </w:r>
      <w:r>
        <w:fldChar w:fldCharType="separate"/>
      </w:r>
      <w:r>
        <w:t>9.5</w:t>
      </w:r>
      <w:r>
        <w:fldChar w:fldCharType="end"/>
      </w:r>
      <w:r>
        <w:rPr/>
        <w:t xml:space="preserve"> deste edital.</w:t>
      </w:r>
    </w:p>
    <w:p>
      <w:pPr>
        <w:pStyle w:val="Nivel2"/>
        <w:numPr>
          <w:ilvl w:val="1"/>
          <w:numId w:val="1"/>
        </w:numPr>
        <w:ind w:lef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HYPERLINK "https://www.gov.br/compras/pt-br/acesso-a-informacao/legislacao/instrucoes-normativas/instrucao-normativa-seges-me-no-73-de-30-de-setembro-de-2022" \l "art29"</w:instrText>
      </w:r>
      <w:r>
        <w:fldChar w:fldCharType="separate"/>
      </w:r>
      <w:r>
        <w:rPr>
          <w:rStyle w:val="LinkdaInternet"/>
        </w:rPr>
        <w:t>artigo 29 a 35 da IN SEGES nº 73, de 30 de setembro de 2022</w:t>
      </w:r>
      <w:r>
        <w:fldChar w:fldCharType="end"/>
      </w:r>
      <w:r>
        <w:rPr/>
        <w:t>.</w:t>
      </w:r>
    </w:p>
    <w:p>
      <w:pPr>
        <w:pStyle w:val="Nivel2"/>
        <w:numPr>
          <w:ilvl w:val="1"/>
          <w:numId w:val="1"/>
        </w:numPr>
        <w:ind w:left="0" w:hanging="0"/>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b/>
          <w:b/>
          <w:bCs/>
        </w:rPr>
      </w:pPr>
      <w:r>
        <w:rPr/>
        <w:t>Em contratação de serviços de engenharia, além das disposições acima, a análise de exequibilidade e sobrepreço considerará o seguinte:</w:t>
      </w:r>
    </w:p>
    <w:p>
      <w:pPr>
        <w:pStyle w:val="Nivel3"/>
        <w:numPr>
          <w:ilvl w:val="2"/>
          <w:numId w:val="1"/>
        </w:numPr>
        <w:ind w:left="284" w:hanging="0"/>
        <w:rPr>
          <w:b/>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b/>
          <w:b/>
        </w:rPr>
      </w:pPr>
      <w:commentRangeStart w:id="19"/>
      <w:r>
        <w:rPr>
          <w:color w:val="000000"/>
        </w:rPr>
        <w:t xml:space="preserve">No regime de empreitada por preço unitário, a caracterização do sobrepreço se dará pela superação do valor global estimado e </w:t>
      </w:r>
      <w:r>
        <w:rPr>
          <w:i/>
          <w:iCs/>
          <w:color w:val="000000"/>
        </w:rPr>
        <w:t>pela superação de custo unitário tido como relevante, conforme planilha anexa ao edital;</w:t>
      </w:r>
      <w:commentRangeEnd w:id="19"/>
      <w:r>
        <w:commentReference w:id="19"/>
      </w:r>
      <w:r>
        <w:rPr>
          <w:i/>
          <w:iCs/>
          <w:color w:val="000000"/>
        </w:rPr>
      </w:r>
    </w:p>
    <w:p>
      <w:pPr>
        <w:pStyle w:val="Nivel3"/>
        <w:numPr>
          <w:ilvl w:val="2"/>
          <w:numId w:val="1"/>
        </w:numPr>
        <w:ind w:left="284" w:hanging="0"/>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pPr>
      <w:bookmarkStart w:id="40"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b/>
          <w:b/>
          <w:bCs/>
        </w:rPr>
      </w:pPr>
      <w:bookmarkStart w:id="41" w:name="_Hlk126568356"/>
      <w:r>
        <w:rPr/>
        <w:t>Em se tratando de serviços de engenharia, o licitante vencedor será convocado a apresentar à Administração, por meio eletrônico, as planilhas com indicação dos quantitativos e dos custos unitários</w:t>
      </w:r>
      <w:bookmarkEnd w:id="41"/>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left="0" w:hanging="0"/>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pPr>
      <w:r>
        <w:rPr/>
        <w:t>O ajuste de que trata este dispositivo se limita a sanar erros ou falhas que não alterem a substância das propostas;</w:t>
      </w:r>
    </w:p>
    <w:p>
      <w:pPr>
        <w:pStyle w:val="Nivel3"/>
        <w:numPr>
          <w:ilvl w:val="2"/>
          <w:numId w:val="1"/>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b/>
          <w:b/>
          <w:highlight w:val="yellow"/>
        </w:rPr>
      </w:pPr>
      <w:r>
        <w:rPr>
          <w:strike w:val="false"/>
          <w:dstrike w:val="false"/>
          <w:highlight w:val="yellow"/>
          <w:lang w:eastAsia="en-US"/>
        </w:rPr>
        <w:t xml:space="preserve">Para </w:t>
      </w:r>
      <w:r>
        <w:rPr>
          <w:strike w:val="false"/>
          <w:dstrike w:val="false"/>
          <w:highlight w:val="yellow"/>
        </w:rPr>
        <w:t>fins</w:t>
      </w:r>
      <w:r>
        <w:rPr>
          <w:strike w:val="false"/>
          <w:dstrike w:val="false"/>
          <w:highlight w:val="yellow"/>
          <w:lang w:eastAsia="en-US"/>
        </w:rPr>
        <w:t xml:space="preserve"> de análise da proposta quanto ao cumprimento </w:t>
      </w:r>
      <w:r>
        <w:rPr>
          <w:strike w:val="false"/>
          <w:dstrike w:val="false"/>
          <w:highlight w:val="yellow"/>
        </w:rPr>
        <w:t>das</w:t>
      </w:r>
      <w:r>
        <w:rPr>
          <w:strike w:val="false"/>
          <w:dstrike w:val="false"/>
          <w:highlight w:val="yellow"/>
          <w:lang w:eastAsia="en-US"/>
        </w:rPr>
        <w:t xml:space="preserve"> especificações do objeto, poderá ser colhida a </w:t>
      </w:r>
      <w:r>
        <w:rPr>
          <w:strike w:val="false"/>
          <w:dstrike w:val="false"/>
          <w:highlight w:val="yellow"/>
        </w:rPr>
        <w:t>manifestação</w:t>
      </w:r>
      <w:r>
        <w:rPr>
          <w:strike w:val="false"/>
          <w:dstrike w:val="false"/>
          <w:highlight w:val="yellow"/>
          <w:lang w:eastAsia="en-US"/>
        </w:rPr>
        <w:t xml:space="preserve"> escrita do setor requisitante do serviço ou da área especializada no objeto</w:t>
      </w:r>
      <w:r>
        <w:rPr>
          <w:lang w:eastAsia="en-US"/>
        </w:rPr>
        <w:t>.</w:t>
      </w:r>
    </w:p>
    <w:p>
      <w:pPr>
        <w:pStyle w:val="Nivel2"/>
        <w:numPr>
          <w:ilvl w:val="1"/>
          <w:numId w:val="1"/>
        </w:numPr>
        <w:ind w:left="0" w:hanging="0"/>
        <w:rPr/>
      </w:pPr>
      <w:r>
        <w:rPr/>
        <w:t xml:space="preserve">Caso o Termo de Referência exija a apresentação de </w:t>
      </w:r>
      <w:commentRangeStart w:id="20"/>
      <w:r>
        <w:rPr/>
        <w:t>amostra</w:t>
      </w:r>
      <w:r>
        <w:rPr/>
      </w:r>
      <w:commentRangeEnd w:id="20"/>
      <w:r>
        <w:commentReference w:id="20"/>
      </w:r>
      <w:r>
        <w:rPr/>
        <w:t>,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2" w:name="_Toc135469230"/>
      <w:bookmarkEnd w:id="42"/>
      <w:r>
        <w:rPr/>
        <w:t>DA FASE DE HABILITAÇÃO</w:t>
      </w:r>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HYPERLINK "http://www.planalto.gov.br/ccivil_03/_ato2019-2022/2021/lei/L14133.htm" \l "art62"</w:instrText>
      </w:r>
      <w:r>
        <w:fldChar w:fldCharType="separate"/>
      </w:r>
      <w:r>
        <w:rPr>
          <w:rStyle w:val="LinkdaInternet"/>
        </w:rPr>
        <w:t>arts. 62 a 70 da Lei nº 14.133, de 2021</w:t>
      </w:r>
      <w:r>
        <w:fldChar w:fldCharType="end"/>
      </w:r>
      <w:r>
        <w:rPr/>
        <w:t>.</w:t>
      </w:r>
    </w:p>
    <w:p>
      <w:pPr>
        <w:pStyle w:val="Nivel3"/>
        <w:numPr>
          <w:ilvl w:val="2"/>
          <w:numId w:val="1"/>
        </w:numPr>
        <w:ind w:left="284" w:hanging="0"/>
        <w:rPr>
          <w:i/>
          <w:i/>
          <w:iCs/>
        </w:rPr>
      </w:pPr>
      <w:bookmarkStart w:id="43" w:name="_Ref114663777"/>
      <w:r>
        <w:rPr/>
        <w:t xml:space="preserve">A documentação exigida para fins de habilitação jurídica, fiscal, social e trabalhista e econômico-ﬁnanceira, </w:t>
      </w:r>
      <w:r>
        <w:rPr>
          <w:color w:val="00000A"/>
        </w:rPr>
        <w:t xml:space="preserve">poderá </w:t>
      </w:r>
      <w:bookmarkEnd w:id="43"/>
      <w:r>
        <w:rPr/>
        <w:t>ser substituída pelo registro cadastral no SICAF.</w:t>
      </w:r>
    </w:p>
    <w:p>
      <w:pPr>
        <w:pStyle w:val="Nivel2"/>
        <w:numPr>
          <w:ilvl w:val="1"/>
          <w:numId w:val="1"/>
        </w:numPr>
        <w:ind w:left="0" w:hanging="0"/>
        <w:rPr>
          <w:i/>
          <w:i/>
        </w:rPr>
      </w:pPr>
      <w:r>
        <w:rPr>
          <w:color w:val="00000A"/>
        </w:rPr>
        <w:t xml:space="preserve">Quando </w:t>
      </w:r>
      <w:r>
        <w:rPr/>
        <w:t>permitida</w:t>
      </w:r>
      <w:r>
        <w:rPr>
          <w:color w:val="00000A"/>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webHidden/>
            <w:rStyle w:val="LinkdaInternet"/>
            <w:vanish/>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pPr>
      <w:r>
        <w:rPr/>
        <w:t xml:space="preserve">Se o consórcio não for formado integralmente por microempresas ou empresas de pequeno porte e o termo de referência exigir requisitos de habilitação econômico-financeira, haverá um acréscimo de </w:t>
      </w:r>
      <w:r>
        <w:rPr>
          <w:b/>
          <w:bCs/>
          <w:u w:val="single"/>
        </w:rPr>
        <w:t>10% (dez por cento)</w:t>
      </w:r>
      <w:r>
        <w:rPr/>
        <w:t xml:space="preserve">  </w:t>
      </w:r>
      <w:r>
        <w:rPr>
          <w:color w:val="00000A"/>
        </w:rPr>
        <w:t>para o consórcio em relação ao valor exigido para os licitantes individuais.</w:t>
      </w:r>
    </w:p>
    <w:p>
      <w:pPr>
        <w:pStyle w:val="Nivel2"/>
        <w:numPr>
          <w:ilvl w:val="1"/>
          <w:numId w:val="1"/>
        </w:numPr>
        <w:ind w:left="0" w:hanging="0"/>
        <w:rPr/>
      </w:pPr>
      <w:r>
        <w:rPr/>
        <w:t xml:space="preserve">Os documentos exigidos para fins de habilitação poderão ser apresentados em original, por cópia ou por </w:t>
      </w:r>
      <w:r>
        <w:rPr>
          <w:b/>
          <w:bCs/>
          <w:iCs/>
          <w:color w:val="000000"/>
          <w:u w:val="single"/>
        </w:rPr>
        <w:t>e-mail quando for o caso, desde que expressamente admitido pelo Pregoeiro (Agente de Contratação)</w:t>
      </w:r>
      <w:r>
        <w:rPr>
          <w:color w:val="000000"/>
        </w:rPr>
        <w:t>.</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commentRangeStart w:id="21"/>
      <w:r>
        <w:rPr/>
        <w:t>Será verificado se o licitante apresentou declaração de que atende aos requisitos de habilitação, e o declarante responderá pela veracidade das informações prestadas, na forma da lei (</w:t>
      </w:r>
      <w:r>
        <w:fldChar w:fldCharType="begin"/>
      </w:r>
      <w:r>
        <w:instrText> HYPERLINK "http://www.planalto.gov.br/ccivil_03/_ato2019-2022/2021/lei/L14133.htm" \l "art63"</w:instrText>
      </w:r>
      <w:r>
        <w:fldChar w:fldCharType="separate"/>
      </w:r>
      <w:r>
        <w:rPr>
          <w:rStyle w:val="LinkdaInternet"/>
        </w:rPr>
        <w:t>art. 63, I, da Lei nº 14.133/2021</w:t>
      </w:r>
      <w:r>
        <w:fldChar w:fldCharType="end"/>
      </w:r>
      <w:r>
        <w:rPr/>
        <w:t>).</w:t>
      </w:r>
      <w:commentRangeEnd w:id="21"/>
      <w:r>
        <w:commentReference w:id="21"/>
      </w:r>
      <w:r>
        <w:rPr/>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HYPERLINK "https://www.gov.br/compras/pt-br/acesso-a-informacao/legislacao/instrucoes-normativas/instrucao-normativa-no-3-de-26-de-abril-de-2018" \l "art4"</w:instrText>
      </w:r>
      <w:r>
        <w:fldChar w:fldCharType="separate"/>
      </w:r>
      <w:r>
        <w:rPr>
          <w:rStyle w:val="LinkdaInternet"/>
        </w:rPr>
        <w:t>IN nº 3/2018, art. 4º, §1º, e art. 6º, §4º</w:t>
      </w:r>
      <w: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webHidden/>
            <w:rStyle w:val="LinkdaInternet"/>
            <w:vanish/>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20">
        <w:r>
          <w:rPr>
            <w:webHidden/>
            <w:rStyle w:val="LinkdaInternet"/>
            <w:vanish/>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pPr>
      <w:bookmarkStart w:id="44" w:name="_Ref114663151"/>
      <w:r>
        <w:rPr/>
        <w:t xml:space="preserve">Os documentos exigidos para habilitação que não estejam contemplados no Sicaf serão enviados por meio do sistema, em formato digital, no prazo de </w:t>
      </w:r>
      <w:r>
        <w:rPr>
          <w:color w:val="000000"/>
        </w:rPr>
        <w:t>2 (duas) horas</w:t>
      </w:r>
      <w:bookmarkEnd w:id="44"/>
      <w:r>
        <w:rPr/>
        <w:t>, prorrogável por igual período, contado da solicitação do pregoeiro.</w:t>
      </w:r>
    </w:p>
    <w:p>
      <w:pPr>
        <w:pStyle w:val="Nivel3"/>
        <w:numPr>
          <w:ilvl w:val="2"/>
          <w:numId w:val="1"/>
        </w:numPr>
        <w:ind w:left="284" w:hanging="0"/>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webHidden/>
            <w:rStyle w:val="LinkdaInternet"/>
            <w:vanish/>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commentRangeStart w:id="22"/>
      <w:r>
        <w:rPr/>
        <w:t>Após a entrega dos documentos para habilitação, não será permitida a substituição ou a apresentação de novos documentos, salvo em sede de diligência, para (</w:t>
      </w:r>
      <w:r>
        <w:fldChar w:fldCharType="begin"/>
      </w:r>
      <w:r>
        <w:instrText> HYPERLINK "http://www.planalto.gov.br/ccivil_03/_ato2019-2022/2021/lei/L14133.htm" \l "art64"</w:instrText>
      </w:r>
      <w:r>
        <w:fldChar w:fldCharType="separate"/>
      </w:r>
      <w:r>
        <w:rPr>
          <w:rStyle w:val="LinkdaInternet"/>
        </w:rPr>
        <w:t>Lei 14.133/21, art. 64</w:t>
      </w:r>
      <w:r>
        <w:fldChar w:fldCharType="end"/>
      </w:r>
      <w:r>
        <w:rPr/>
        <w:t xml:space="preserve">, e </w:t>
      </w:r>
      <w:hyperlink r:id="rId22">
        <w:r>
          <w:rPr>
            <w:webHidden/>
            <w:rStyle w:val="LinkdaInternet"/>
            <w:vanish/>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commentRangeEnd w:id="22"/>
      <w:r>
        <w:commentReference w:id="22"/>
      </w:r>
      <w:r>
        <w:rPr/>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5" w:name="_Ref114670319"/>
      <w:bookmarkEnd w:id="45"/>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Nivel2"/>
        <w:numPr>
          <w:ilvl w:val="1"/>
          <w:numId w:val="1"/>
        </w:numPr>
        <w:ind w:left="0" w:hanging="0"/>
        <w:rPr/>
      </w:pPr>
      <w:bookmarkStart w:id="46"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instrText> REF _Ref114663151 \r \h </w:instrText>
      </w:r>
      <w:r>
        <w:fldChar w:fldCharType="separate"/>
      </w:r>
      <w:r>
        <w:t>16.12.1</w:t>
      </w:r>
      <w:r>
        <w:fldChar w:fldCharType="end"/>
      </w:r>
      <w:bookmarkEnd w:id="46"/>
      <w:r>
        <w:rPr/>
        <w:t>.</w:t>
      </w:r>
    </w:p>
    <w:p>
      <w:pPr>
        <w:pStyle w:val="Nivel2"/>
        <w:numPr>
          <w:ilvl w:val="1"/>
          <w:numId w:val="1"/>
        </w:numPr>
        <w:ind w:left="0" w:hanging="0"/>
        <w:rPr/>
      </w:pPr>
      <w:bookmarkStart w:id="47" w:name="_Ref114665515"/>
      <w:r>
        <w:rPr/>
        <w:t>Somente serão disponibilizados para acesso público os documentos de habilitação do licitante cuja proposta atenda ao edital de licitação, após concluídos os procedimentos de que trata o subitem anterior</w:t>
      </w:r>
      <w:bookmarkEnd w:id="47"/>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instrText> HYPERLINK "https://www.planalto.gov.br/ccivil_03/_ato2015-2018/2015/decreto/d8538.htm" \l "art4"</w:instrText>
      </w:r>
      <w:r>
        <w:fldChar w:fldCharType="separate"/>
      </w:r>
      <w:r>
        <w:rPr>
          <w:rStyle w:val="LinkdaInternet"/>
          <w:color w:val="000000"/>
          <w:u w:val="none"/>
        </w:rPr>
        <w:t>art. 4º do Decreto nº 8.538/2015</w:t>
      </w:r>
      <w: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1"/>
          <w:numId w:val="1"/>
        </w:numPr>
        <w:ind w:left="0" w:hanging="0"/>
        <w:rPr>
          <w:u w:val="single"/>
        </w:rPr>
      </w:pPr>
      <w:r>
        <w:rPr>
          <w:rFonts w:cs="Arial"/>
          <w:b/>
          <w:color w:val="000000"/>
          <w:sz w:val="20"/>
          <w:szCs w:val="20"/>
          <w:u w:val="single"/>
        </w:rPr>
        <w:t xml:space="preserve">DA VISTORIA </w:t>
      </w:r>
      <w:r>
        <w:rPr>
          <w:rFonts w:cs="Arial"/>
          <w:b/>
          <w:bCs/>
          <w:iCs/>
          <w:color w:val="000000"/>
          <w:sz w:val="20"/>
          <w:szCs w:val="20"/>
          <w:u w:val="single"/>
        </w:rPr>
        <w:t>TÉCNICA</w:t>
      </w:r>
    </w:p>
    <w:p>
      <w:pPr>
        <w:pStyle w:val="Normal"/>
        <w:widowControl/>
        <w:numPr>
          <w:ilvl w:val="2"/>
          <w:numId w:val="1"/>
        </w:numPr>
        <w:shd w:val="clear" w:fill="auto"/>
        <w:tabs>
          <w:tab w:val="left" w:pos="426" w:leader="none"/>
        </w:tabs>
        <w:suppressAutoHyphens w:val="true"/>
        <w:overflowPunct w:val="false"/>
        <w:bidi w:val="0"/>
        <w:snapToGrid w:val="false"/>
        <w:spacing w:lineRule="auto" w:line="276" w:before="120" w:after="120"/>
        <w:ind w:left="1417" w:right="0" w:hanging="1134"/>
        <w:jc w:val="both"/>
        <w:textAlignment w:val="baseline"/>
        <w:rPr/>
      </w:pPr>
      <w:r>
        <w:rPr>
          <w:rFonts w:cs="Arial" w:ascii="Arial" w:hAnsi="Arial"/>
          <w:b/>
          <w:bCs/>
          <w:iCs/>
          <w:color w:val="000000"/>
          <w:sz w:val="20"/>
          <w:szCs w:val="20"/>
          <w:u w:val="single"/>
          <w:lang w:eastAsia="en-US"/>
        </w:rPr>
        <w:t>Consubstanciado no</w:t>
      </w:r>
      <w:r>
        <w:rPr>
          <w:rFonts w:eastAsia="spranq eco sans;Times New Roman" w:cs="Arial" w:ascii="Arial" w:hAnsi="Arial"/>
          <w:b/>
          <w:bCs/>
          <w:iCs/>
          <w:color w:val="333333"/>
          <w:sz w:val="20"/>
          <w:szCs w:val="20"/>
          <w:u w:val="single"/>
          <w:lang w:eastAsia="en-US"/>
        </w:rPr>
        <w:t xml:space="preserve"> art. 64, da Lei nº 14.133, de 2021, poderá(ão) ser realizada(s) diligência(s) junto ao(s) licitante(s) declarado(s) vencedor(es) no certame </w:t>
      </w:r>
      <w:r>
        <w:rPr>
          <w:rFonts w:eastAsia="spranq eco sans;Times New Roman" w:cs="Arial" w:ascii="Arial" w:hAnsi="Arial"/>
          <w:b/>
          <w:bCs/>
          <w:iCs/>
          <w:color w:val="000000"/>
          <w:sz w:val="20"/>
          <w:szCs w:val="20"/>
          <w:u w:val="single"/>
          <w:lang w:eastAsia="en-US"/>
        </w:rPr>
        <w:t>destinada a esclarecer ou a complementar a instrução do processo, e, sucessivamente, apurar algum fato impeditivo superveniente desconhecido até aquela data, o qual implique futura inabilitação ou desclassificação de quaisquer licitantes, conforme Parecer Técnico fundamentado a ser emitido pelo servidor(es) civil(s) ou militar(es) designado(s)</w:t>
      </w:r>
      <w:r>
        <w:rPr>
          <w:rFonts w:eastAsia="spranq eco sans;Times New Roman" w:cs="Arial" w:ascii="Arial" w:hAnsi="Arial"/>
          <w:b/>
          <w:bCs/>
          <w:iCs/>
          <w:color w:val="000000"/>
          <w:sz w:val="20"/>
          <w:szCs w:val="20"/>
          <w:u w:val="none"/>
          <w:lang w:eastAsia="en-US"/>
        </w:rPr>
        <w:t>.</w:t>
      </w:r>
    </w:p>
    <w:p>
      <w:pPr>
        <w:pStyle w:val="Normal"/>
        <w:widowControl/>
        <w:numPr>
          <w:ilvl w:val="2"/>
          <w:numId w:val="1"/>
        </w:numPr>
        <w:shd w:val="clear" w:fill="auto"/>
        <w:tabs>
          <w:tab w:val="left" w:pos="426" w:leader="none"/>
        </w:tabs>
        <w:suppressAutoHyphens w:val="true"/>
        <w:overflowPunct w:val="false"/>
        <w:bidi w:val="0"/>
        <w:snapToGrid w:val="false"/>
        <w:spacing w:lineRule="auto" w:line="276" w:before="120" w:after="120"/>
        <w:ind w:left="1417" w:right="0" w:hanging="1134"/>
        <w:jc w:val="both"/>
        <w:textAlignment w:val="baseline"/>
        <w:rPr>
          <w:b/>
          <w:b/>
          <w:bCs/>
        </w:rPr>
      </w:pPr>
      <w:r>
        <w:rPr>
          <w:rFonts w:eastAsia="spranq eco sans;Times New Roman" w:cs="Arial" w:ascii="Arial" w:hAnsi="Arial"/>
          <w:b/>
          <w:bCs/>
          <w:iCs/>
          <w:color w:val="000000"/>
          <w:sz w:val="20"/>
          <w:szCs w:val="20"/>
          <w:u w:val="single"/>
          <w:lang w:eastAsia="en-US"/>
        </w:rPr>
        <w:t>Assim sendo, o(s) licitante(s) serão comunicados oficialmente quanto ao servidor(es) civil(s) ou militar(es) designado(s) pela Administração (7º BEC), sendo, possível a colaboração de integrante(s) dos demais órgãos e entidades participantes (UGP), ou ainda, outros a quem esta Organização Militar recorrer para atender essa demanda, particularmente, quando o(s) licitante(s) vencedor(es) estiver(em) domiciliado(s) fora do município de Rio Branco/AC. Daí, consensualmente será acordada a data, o local e horário(s) para a realização da vistoria técnica, bem como serão repassados previamente os quesitos a serem analisados para esse fim. Outrossim, não está descartado que outros quesitos anteriormente não relacionados que, porventura, julgue pertinente ao caso concreto possam ser solicitados esclarecimentos ou comprovações</w:t>
      </w:r>
      <w:r>
        <w:rPr>
          <w:rFonts w:eastAsia="spranq eco sans;Times New Roman" w:cs="Arial" w:ascii="Arial" w:hAnsi="Arial"/>
          <w:b/>
          <w:bCs/>
          <w:iCs/>
          <w:color w:val="000000"/>
          <w:sz w:val="20"/>
          <w:szCs w:val="20"/>
          <w:u w:val="none"/>
          <w:lang w:eastAsia="en-US"/>
        </w:rPr>
        <w:t>.</w:t>
      </w:r>
    </w:p>
    <w:p>
      <w:pPr>
        <w:pStyle w:val="Normal"/>
        <w:widowControl/>
        <w:numPr>
          <w:ilvl w:val="3"/>
          <w:numId w:val="1"/>
        </w:numPr>
        <w:shd w:val="clear" w:fill="auto"/>
        <w:tabs>
          <w:tab w:val="left" w:pos="426" w:leader="none"/>
        </w:tabs>
        <w:suppressAutoHyphens w:val="true"/>
        <w:overflowPunct w:val="false"/>
        <w:bidi w:val="0"/>
        <w:snapToGrid w:val="false"/>
        <w:spacing w:lineRule="auto" w:line="276" w:before="120" w:after="120"/>
        <w:ind w:left="2835" w:right="0" w:hanging="1134"/>
        <w:jc w:val="both"/>
        <w:textAlignment w:val="baseline"/>
        <w:rPr>
          <w:b/>
          <w:b/>
          <w:bCs/>
        </w:rPr>
      </w:pPr>
      <w:r>
        <w:rPr>
          <w:rFonts w:eastAsia="spranq eco sans;Times New Roman" w:cs="Arial" w:ascii="Arial" w:hAnsi="Arial"/>
          <w:b/>
          <w:bCs/>
          <w:iCs/>
          <w:color w:val="000000"/>
          <w:sz w:val="20"/>
          <w:szCs w:val="20"/>
          <w:u w:val="single"/>
          <w:lang w:eastAsia="en-US"/>
        </w:rPr>
        <w:t>Não obstante, a vistoria técnica tem por finalidade cumprir determinação do Escalão Superior no tocante às aquisições de bens e/ou contratação de serviços imprescindíveis à Administração, segundo os Acordos de Cooperação, Termos de Execução Descentralizada – TED ou quaisquer outros mecanismos ora celebrados pelo Alto Comando do Exército, sendo, portanto, de suma importância a verificação de eventuais fornecedores capazes de cumprir às exigências editalícias antes da adjudicação e homologação do certame</w:t>
      </w:r>
      <w:r>
        <w:rPr>
          <w:rFonts w:eastAsia="spranq eco sans;Times New Roman" w:cs="Arial" w:ascii="Arial" w:hAnsi="Arial"/>
          <w:b/>
          <w:bCs/>
          <w:iCs/>
          <w:color w:val="000000"/>
          <w:sz w:val="20"/>
          <w:szCs w:val="20"/>
          <w:u w:val="none"/>
          <w:lang w:eastAsia="en-US"/>
        </w:rPr>
        <w:t>.</w:t>
      </w:r>
    </w:p>
    <w:p>
      <w:pPr>
        <w:pStyle w:val="Nivel01"/>
        <w:numPr>
          <w:ilvl w:val="0"/>
          <w:numId w:val="1"/>
        </w:numPr>
        <w:rPr>
          <w:highlight w:val="cyan"/>
        </w:rPr>
      </w:pPr>
      <w:commentRangeStart w:id="23"/>
      <w:r>
        <w:rPr/>
        <w:t>DA ATA DE REGISTRO DE PREÇOS</w:t>
      </w:r>
      <w:bookmarkStart w:id="48" w:name="_Toc135469231"/>
      <w:bookmarkEnd w:id="48"/>
      <w:commentRangeEnd w:id="23"/>
      <w:r>
        <w:commentReference w:id="23"/>
      </w:r>
      <w:r>
        <w:rPr/>
      </w:r>
    </w:p>
    <w:p>
      <w:pPr>
        <w:pStyle w:val="Nivel2"/>
        <w:numPr>
          <w:ilvl w:val="1"/>
          <w:numId w:val="1"/>
        </w:numPr>
        <w:ind w:left="0" w:hanging="0"/>
        <w:rPr/>
      </w:pPr>
      <w:r>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highlight w:val="cyan"/>
        </w:rPr>
      </w:pPr>
      <w:commentRangeStart w:id="24"/>
      <w:r>
        <w:rPr/>
        <w:t xml:space="preserve">O prazo de convocação </w:t>
      </w:r>
      <w:r>
        <w:rPr/>
      </w:r>
      <w:commentRangeEnd w:id="24"/>
      <w:r>
        <w:commentReference w:id="24"/>
      </w:r>
      <w:r>
        <w:rPr/>
        <w:t>poderá ser prorrogado uma vez, por igual período, mediante solicitação do licitante mais bem classificado ou do fornecedor convocado, desde que:</w:t>
      </w:r>
    </w:p>
    <w:p>
      <w:pPr>
        <w:pStyle w:val="Nivel2"/>
        <w:numPr>
          <w:ilvl w:val="0"/>
          <w:numId w:val="0"/>
        </w:numPr>
        <w:ind w:left="567" w:hanging="0"/>
        <w:rPr>
          <w:iCs/>
          <w:color w:val="00000A"/>
          <w:highlight w:val="cyan"/>
        </w:rPr>
      </w:pPr>
      <w:r>
        <w:rPr>
          <w:iCs/>
          <w:color w:val="00000A"/>
        </w:rPr>
        <w:t>(a) a solicitação seja devidamente justificada e apresentada dentro do prazo; e</w:t>
      </w:r>
    </w:p>
    <w:p>
      <w:pPr>
        <w:pStyle w:val="Nivel2"/>
        <w:numPr>
          <w:ilvl w:val="0"/>
          <w:numId w:val="0"/>
        </w:numPr>
        <w:ind w:left="567" w:hanging="0"/>
        <w:rPr>
          <w:iCs/>
          <w:color w:val="00000A"/>
          <w:highlight w:val="cyan"/>
        </w:rPr>
      </w:pPr>
      <w:r>
        <w:rPr>
          <w:iCs/>
          <w:color w:val="00000A"/>
        </w:rPr>
        <w:t>(b) a justificativa apresentada seja aceita pela Administração.</w:t>
      </w:r>
    </w:p>
    <w:p>
      <w:pPr>
        <w:pStyle w:val="Nivel2"/>
        <w:numPr>
          <w:ilvl w:val="1"/>
          <w:numId w:val="1"/>
        </w:numPr>
        <w:ind w:left="0" w:hanging="0"/>
        <w:rPr>
          <w:highlight w:val="cyan"/>
        </w:rPr>
      </w:pPr>
      <w:r>
        <w:rPr/>
        <w:t>A ata de registro de preços será assinada por meio de assinatura digital e disponibilizada no sistema de registro de preços.</w:t>
      </w:r>
    </w:p>
    <w:p>
      <w:pPr>
        <w:pStyle w:val="Nivel2"/>
        <w:numPr>
          <w:ilvl w:val="1"/>
          <w:numId w:val="1"/>
        </w:numPr>
        <w:ind w:left="0" w:hanging="0"/>
        <w:rPr>
          <w:highlight w:val="cyan"/>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highlight w:val="cyan"/>
        </w:rPr>
      </w:pPr>
      <w:r>
        <w:rPr/>
        <w:t xml:space="preserve">O preço registrado, com a indicação dos fornecedores, será </w:t>
      </w:r>
      <w:commentRangeStart w:id="25"/>
      <w:r>
        <w:rPr/>
        <w:t xml:space="preserve">divulgado no PNCP </w:t>
      </w:r>
      <w:r>
        <w:rPr/>
      </w:r>
      <w:commentRangeEnd w:id="25"/>
      <w:r>
        <w:commentReference w:id="25"/>
      </w:r>
      <w:r>
        <w:rPr/>
        <w:t>e disponibilizado durante a vigência da ata de registro de preços.</w:t>
      </w:r>
    </w:p>
    <w:p>
      <w:pPr>
        <w:pStyle w:val="Nivel2"/>
        <w:numPr>
          <w:ilvl w:val="1"/>
          <w:numId w:val="1"/>
        </w:numPr>
        <w:ind w:left="0" w:hanging="0"/>
        <w:rPr>
          <w:highlight w:val="cyan"/>
        </w:rPr>
      </w:pPr>
      <w:commentRangeStart w:id="26"/>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26"/>
      <w:r>
        <w:commentReference w:id="26"/>
      </w:r>
      <w:r>
        <w:rPr/>
      </w:r>
    </w:p>
    <w:p>
      <w:pPr>
        <w:pStyle w:val="Nivel2"/>
        <w:numPr>
          <w:ilvl w:val="1"/>
          <w:numId w:val="1"/>
        </w:numPr>
        <w:ind w:left="0" w:hanging="0"/>
        <w:rPr/>
      </w:pPr>
      <w:r>
        <w:rPr/>
        <w:t xml:space="preserve">Na hipótese de o </w:t>
      </w:r>
      <w:commentRangeStart w:id="27"/>
      <w:r>
        <w:rPr/>
        <w:t xml:space="preserve">convocado não assinar </w:t>
      </w:r>
      <w:r>
        <w:rPr/>
      </w:r>
      <w:commentRangeEnd w:id="27"/>
      <w:r>
        <w:commentReference w:id="27"/>
      </w:r>
      <w: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pPr>
      <w:bookmarkStart w:id="49" w:name="_Toc135469232"/>
      <w:bookmarkEnd w:id="49"/>
      <w:r>
        <w:rPr/>
        <w:t>DA FORMAÇÃO DO CADASTRO DE RESERVA</w:t>
      </w:r>
    </w:p>
    <w:p>
      <w:pPr>
        <w:pStyle w:val="Nivel01"/>
        <w:numPr>
          <w:ilvl w:val="1"/>
          <w:numId w:val="1"/>
        </w:numPr>
        <w:rPr/>
      </w:pPr>
      <w:r>
        <w:rPr>
          <w:rFonts w:eastAsia="ＭＳ ゴシック" w:cs="Arial"/>
          <w:b w:val="false"/>
          <w:bCs w:val="false"/>
          <w:color w:val="00000A"/>
          <w:kern w:val="0"/>
          <w:sz w:val="20"/>
          <w:szCs w:val="20"/>
          <w:lang w:val="pt-BR" w:eastAsia="pt-BR" w:bidi="ar-SA"/>
        </w:rPr>
        <w:t>Após a homologação da licitação, será incluído na ata, na forma de anexo, o registro:</w:t>
      </w:r>
    </w:p>
    <w:p>
      <w:pPr>
        <w:pStyle w:val="Nivel3"/>
        <w:widowControl/>
        <w:numPr>
          <w:ilvl w:val="2"/>
          <w:numId w:val="1"/>
        </w:numPr>
        <w:bidi w:val="0"/>
        <w:spacing w:lineRule="auto" w:line="276" w:before="120" w:after="120"/>
        <w:ind w:left="283" w:right="0" w:hanging="0"/>
        <w:jc w:val="both"/>
        <w:rPr>
          <w:highlight w:val="cyan"/>
        </w:rPr>
      </w:pPr>
      <w:r>
        <w:rPr/>
        <w:t xml:space="preserve">dos licitantes </w:t>
      </w:r>
      <w:bookmarkStart w:id="50" w:name="_Hlk132991372"/>
      <w:r>
        <w:rPr/>
        <w:t xml:space="preserve">que </w:t>
      </w:r>
      <w:bookmarkStart w:id="51" w:name="_Hlk132989696"/>
      <w:r>
        <w:rPr/>
        <w:t>aceitarem cotar o objeto com preço igual ao do adjudicatári</w:t>
      </w:r>
      <w:bookmarkEnd w:id="50"/>
      <w:r>
        <w:rPr/>
        <w:t>o</w:t>
      </w:r>
      <w:bookmarkEnd w:id="51"/>
      <w:r>
        <w:rPr/>
        <w:t xml:space="preserve">, observada a classificação na licitação; e </w:t>
      </w:r>
    </w:p>
    <w:p>
      <w:pPr>
        <w:pStyle w:val="Nivel3"/>
        <w:widowControl/>
        <w:numPr>
          <w:ilvl w:val="2"/>
          <w:numId w:val="1"/>
        </w:numPr>
        <w:bidi w:val="0"/>
        <w:spacing w:lineRule="auto" w:line="276" w:before="120" w:after="120"/>
        <w:ind w:left="283" w:right="0" w:hanging="0"/>
        <w:jc w:val="both"/>
        <w:rPr>
          <w:rFonts w:eastAsia="MS Mincho"/>
          <w:iCs/>
          <w:highlight w:val="cyan"/>
        </w:rPr>
      </w:pPr>
      <w:r>
        <w:rPr/>
        <w:t>dos licitantes que mantiverem sua proposta original</w:t>
      </w:r>
    </w:p>
    <w:p>
      <w:pPr>
        <w:pStyle w:val="Nivel2"/>
        <w:widowControl/>
        <w:numPr>
          <w:ilvl w:val="1"/>
          <w:numId w:val="1"/>
        </w:numPr>
        <w:bidi w:val="0"/>
        <w:spacing w:lineRule="auto" w:line="276" w:before="120" w:after="120"/>
        <w:ind w:left="0" w:right="0" w:hanging="0"/>
        <w:jc w:val="both"/>
        <w:rPr/>
      </w:pPr>
      <w:r>
        <w:rPr/>
        <w:t xml:space="preserve">Será respeitada, nas contratações, a ordem de classificação dos licitantes ou fornecedores registrados na ata. </w:t>
      </w:r>
    </w:p>
    <w:p>
      <w:pPr>
        <w:pStyle w:val="Nivel2"/>
        <w:widowControl/>
        <w:numPr>
          <w:ilvl w:val="2"/>
          <w:numId w:val="1"/>
        </w:numPr>
        <w:bidi w:val="0"/>
        <w:spacing w:lineRule="auto" w:line="276" w:before="120" w:after="120"/>
        <w:ind w:left="283" w:right="0" w:hanging="0"/>
        <w:jc w:val="both"/>
        <w:rPr/>
      </w:pPr>
      <w:r>
        <w:rPr/>
        <w:t xml:space="preserve">A apresentação de novas propostas na forma deste item não prejudicará o resultado do certame em relação ao licitante mais bem classificado. </w:t>
      </w:r>
    </w:p>
    <w:p>
      <w:pPr>
        <w:pStyle w:val="Nivel2"/>
        <w:widowControl/>
        <w:numPr>
          <w:ilvl w:val="2"/>
          <w:numId w:val="1"/>
        </w:numPr>
        <w:bidi w:val="0"/>
        <w:spacing w:lineRule="auto" w:line="276" w:before="120" w:after="120"/>
        <w:ind w:left="283" w:right="0" w:hanging="0"/>
        <w:jc w:val="both"/>
        <w:rPr/>
      </w:pPr>
      <w:commentRangeStart w:id="28"/>
      <w:r>
        <w:rPr/>
        <w:t>Para fins da ordem de classificação, os licitantes ou fornecedores que aceitarem cotar o objeto com preço igual ao do adjudicatário antecederão aqueles que mantiverem sua proposta original.</w:t>
      </w:r>
      <w:commentRangeEnd w:id="28"/>
      <w:r>
        <w:commentReference w:id="28"/>
      </w:r>
      <w:r>
        <w:rPr/>
      </w:r>
    </w:p>
    <w:p>
      <w:pPr>
        <w:pStyle w:val="Nivel2"/>
        <w:numPr>
          <w:ilvl w:val="1"/>
          <w:numId w:val="1"/>
        </w:numPr>
        <w:ind w:left="0" w:hanging="0"/>
        <w:rPr>
          <w:color w:val="FF0000"/>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highlight w:val="cyan"/>
        </w:rPr>
      </w:pPr>
      <w:r>
        <w:rPr/>
        <w:t xml:space="preserve"> </w:t>
      </w:r>
      <w:r>
        <w:rPr/>
        <w:t>quando o licitante vencedor não assinar a ata de registro de preços no prazo e nas condições estabelecidos no edital; ou</w:t>
      </w:r>
    </w:p>
    <w:p>
      <w:pPr>
        <w:pStyle w:val="Nivel3"/>
        <w:numPr>
          <w:ilvl w:val="2"/>
          <w:numId w:val="1"/>
        </w:numPr>
        <w:ind w:left="284" w:hanging="0"/>
        <w:rPr/>
      </w:pPr>
      <w:r>
        <w:rPr/>
        <w:t>quando houver o cancelamento do registro do fornecedor ou do registro de preços, nas hipóteses previstas nos art. 28 e art. 29 do Decreto nº 11.462/23.</w:t>
      </w:r>
    </w:p>
    <w:p>
      <w:pPr>
        <w:pStyle w:val="Nivel2"/>
        <w:numPr>
          <w:ilvl w:val="1"/>
          <w:numId w:val="1"/>
        </w:numPr>
        <w:ind w:left="0" w:hanging="0"/>
        <w:rPr>
          <w:highlight w:val="cyan"/>
        </w:rPr>
      </w:pPr>
      <w:r>
        <w:rPr/>
        <w:t xml:space="preserve">Na hipótese de </w:t>
      </w:r>
      <w:commentRangeStart w:id="29"/>
      <w:r>
        <w:rPr/>
        <w:t xml:space="preserve">nenhum dos licitantes </w:t>
      </w:r>
      <w:r>
        <w:rPr/>
      </w:r>
      <w:commentRangeEnd w:id="29"/>
      <w:r>
        <w:commentReference w:id="29"/>
      </w:r>
      <w: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highlight w:val="cyan"/>
        </w:rPr>
      </w:pPr>
      <w:r>
        <w:rPr/>
        <w:t xml:space="preserve"> </w:t>
      </w: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highlight w:val="cyan"/>
        </w:rPr>
      </w:pPr>
      <w:r>
        <w:rPr/>
        <w:t xml:space="preserve"> </w:t>
      </w:r>
      <w: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2" w:name="_Toc135469233"/>
      <w:bookmarkEnd w:id="52"/>
      <w:r>
        <w:rPr/>
        <w:t>DOS RECURSOS</w:t>
      </w:r>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instrText> HYPERLINK "http://www.planalto.gov.br/ccivil_03/_ato2019-2022/2021/lei/L14133.htm" \l "art165"</w:instrText>
      </w:r>
      <w:r>
        <w:fldChar w:fldCharType="separate"/>
      </w:r>
      <w:r>
        <w:rPr>
          <w:rStyle w:val="LinkdaInternet"/>
          <w:color w:val="000000"/>
          <w:u w:val="none"/>
        </w:rPr>
        <w:t>art. 165 da Lei nº 14.133, de 2021</w:t>
      </w:r>
      <w: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pPr>
      <w:bookmarkStart w:id="53" w:name="_Hlk135315794"/>
      <w:bookmarkStart w:id="54" w:name="_Hlk135318381"/>
      <w:bookmarkEnd w:id="53"/>
      <w:bookmarkEnd w:id="54"/>
      <w:r>
        <w:rPr/>
        <w:t>o prazo para a manifestação da intenção de recorrer não será inferior a 30 (trinta) minutos.</w:t>
      </w:r>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 xml:space="preserve">na hipótese de adoção da inversão de fases prevista no </w:t>
      </w:r>
      <w:r>
        <w:fldChar w:fldCharType="begin"/>
      </w:r>
      <w:r>
        <w:instrText> HYPERLINK "http://www.planalto.gov.br/ccivil_03/_ato2019-2022/2021/lei/L14133.htm" \l "art17§1"</w:instrText>
      </w:r>
      <w:r>
        <w:fldChar w:fldCharType="separate"/>
      </w:r>
      <w:r>
        <w:rPr>
          <w:rStyle w:val="LinkdaInternet"/>
          <w:color w:val="000000"/>
          <w:u w:val="none"/>
        </w:rPr>
        <w:t>§ 1º do art. 17 da Lei nº 14.133, de 2021</w:t>
      </w:r>
      <w: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w:t>
      </w:r>
      <w:r>
        <w:rPr>
          <w:color w:val="000000"/>
        </w:rPr>
        <w:t xml:space="preserve">na </w:t>
      </w:r>
      <w:r>
        <w:rPr>
          <w:rFonts w:cs="Arial"/>
          <w:b/>
          <w:bCs/>
          <w:color w:val="000000"/>
          <w:sz w:val="20"/>
          <w:szCs w:val="20"/>
        </w:rPr>
        <w:t>Seção de Aquisição, Licitações e Contratos (SALC)</w:t>
      </w:r>
      <w:r>
        <w:rPr>
          <w:color w:val="00000A"/>
        </w:rPr>
        <w:t>.</w:t>
      </w:r>
    </w:p>
    <w:p>
      <w:pPr>
        <w:pStyle w:val="Nivel01"/>
        <w:numPr>
          <w:ilvl w:val="0"/>
          <w:numId w:val="1"/>
        </w:numPr>
        <w:rPr/>
      </w:pPr>
      <w:commentRangeStart w:id="30"/>
      <w:r>
        <w:rPr/>
        <w:t>DAS INFRAÇÕES ADMINISTRATIVAS E SANÇÕES</w:t>
      </w:r>
      <w:bookmarkStart w:id="55" w:name="_Toc135469234"/>
      <w:bookmarkEnd w:id="55"/>
      <w:commentRangeEnd w:id="30"/>
      <w:r>
        <w:commentReference w:id="30"/>
      </w:r>
      <w:r>
        <w:rPr/>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6" w:name="_Ref114668085"/>
      <w:bookmarkEnd w:id="56"/>
      <w:r>
        <w:rPr/>
        <w:t>deixar de entregar a documentação exigida para o certame ou não entregar qualquer documento que tenha sido solicitado pelo/a pregoeiro/a durante o certame;</w:t>
      </w:r>
    </w:p>
    <w:p>
      <w:pPr>
        <w:pStyle w:val="Nivel3"/>
        <w:numPr>
          <w:ilvl w:val="2"/>
          <w:numId w:val="1"/>
        </w:numPr>
        <w:ind w:left="284" w:hanging="0"/>
        <w:rPr/>
      </w:pPr>
      <w:bookmarkStart w:id="57" w:name="_Ref114668108"/>
      <w:bookmarkEnd w:id="57"/>
      <w:r>
        <w:rPr/>
        <w:t>Salvo em decorrência de fato superveniente devidamente justificado, não mantiver a proposta em especial quando:</w:t>
      </w:r>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58" w:name="_Ref114668139"/>
      <w:bookmarkEnd w:id="58"/>
      <w:r>
        <w:rPr/>
        <w:t>não celebrar o contrato ou não entregar a documentação exigida para a contratação, quando convocado dentro do prazo de validade de sua proposta;</w:t>
      </w:r>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9" w:name="_Ref114668249"/>
      <w:bookmarkEnd w:id="59"/>
      <w:r>
        <w:rPr/>
        <w:t>apresentar declaração ou documentação falsa exigida para o certame ou prestar declaração falsa durante a licitação</w:t>
      </w:r>
    </w:p>
    <w:p>
      <w:pPr>
        <w:pStyle w:val="Nivel3"/>
        <w:numPr>
          <w:ilvl w:val="2"/>
          <w:numId w:val="1"/>
        </w:numPr>
        <w:ind w:left="284" w:hanging="0"/>
        <w:rPr/>
      </w:pPr>
      <w:bookmarkStart w:id="60" w:name="_Ref114668245"/>
      <w:bookmarkEnd w:id="60"/>
      <w:r>
        <w:rPr/>
        <w:t>fraudar a licitação</w:t>
      </w:r>
    </w:p>
    <w:p>
      <w:pPr>
        <w:pStyle w:val="Nivel3"/>
        <w:numPr>
          <w:ilvl w:val="2"/>
          <w:numId w:val="1"/>
        </w:numPr>
        <w:ind w:left="284" w:hanging="0"/>
        <w:rPr/>
      </w:pPr>
      <w:bookmarkStart w:id="61" w:name="_Ref114668247"/>
      <w:bookmarkEnd w:id="61"/>
      <w:r>
        <w:rPr/>
        <w:t>comportar-se de modo inidôneo ou cometer fraude de qualquer natureza, em especial quando:</w:t>
      </w:r>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2" w:name="_Ref114668251"/>
      <w:bookmarkEnd w:id="62"/>
      <w:r>
        <w:rPr/>
        <w:t>praticar atos ilícitos com vistas a frustrar os objetivos da licitação</w:t>
      </w:r>
    </w:p>
    <w:p>
      <w:pPr>
        <w:pStyle w:val="Nivel3"/>
        <w:numPr>
          <w:ilvl w:val="2"/>
          <w:numId w:val="1"/>
        </w:numPr>
        <w:ind w:left="284" w:hanging="0"/>
        <w:rPr/>
      </w:pPr>
      <w:bookmarkStart w:id="63" w:name="_Ref114668252"/>
      <w:r>
        <w:rPr/>
        <w:t xml:space="preserve">praticar ato lesivo previsto no </w:t>
      </w:r>
      <w:r>
        <w:fldChar w:fldCharType="begin"/>
      </w:r>
      <w:r>
        <w:instrText> HYPERLINK "https://www.planalto.gov.br/ccivil_03/_ato2011-2014/2013/lei/l12846.htm" \l "art5"</w:instrText>
      </w:r>
      <w:r>
        <w:fldChar w:fldCharType="separate"/>
      </w:r>
      <w:r>
        <w:rPr>
          <w:rStyle w:val="LinkdaInternet"/>
          <w:color w:val="000000"/>
          <w:u w:val="none"/>
        </w:rPr>
        <w:t>art. 5º da Lei n.º 12.846, de 2013</w:t>
      </w:r>
      <w:r>
        <w:fldChar w:fldCharType="end"/>
      </w:r>
      <w:bookmarkEnd w:id="63"/>
      <w:r>
        <w:rPr/>
        <w:t>.</w:t>
      </w:r>
    </w:p>
    <w:p>
      <w:pPr>
        <w:pStyle w:val="Nivel2"/>
        <w:numPr>
          <w:ilvl w:val="1"/>
          <w:numId w:val="1"/>
        </w:numPr>
        <w:ind w:left="0" w:hanging="0"/>
        <w:rPr/>
      </w:pPr>
      <w:r>
        <w:rPr/>
        <w:t xml:space="preserve">Com fulcro na </w:t>
      </w:r>
      <w:hyperlink r:id="rId23">
        <w:r>
          <w:rPr>
            <w:webHidden/>
            <w:rStyle w:val="LinkdaInternet"/>
            <w:vanish/>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commentRangeStart w:id="31"/>
      <w:r>
        <w:rPr/>
        <w:t xml:space="preserve">A multa será recolhida em percentual de 0,5% a 30% incidente sobre o valor do contrato licitado, recolhida no prazo máximo de </w:t>
      </w:r>
      <w:r>
        <w:rPr>
          <w:b/>
          <w:bCs/>
          <w:color w:val="FF0000"/>
        </w:rPr>
        <w:t>10 (dez) dias</w:t>
      </w:r>
      <w:r>
        <w:rPr>
          <w:color w:val="FF0000"/>
        </w:rPr>
        <w:t xml:space="preserve"> </w:t>
      </w:r>
      <w:r>
        <w:rPr/>
        <w:t xml:space="preserve">úteis, a contar da comunicação oficial. </w:t>
      </w:r>
    </w:p>
    <w:p>
      <w:pPr>
        <w:pStyle w:val="Nivel3"/>
        <w:numPr>
          <w:ilvl w:val="2"/>
          <w:numId w:val="1"/>
        </w:numPr>
        <w:ind w:left="284" w:hanging="0"/>
        <w:rPr/>
      </w:pPr>
      <w:r>
        <w:rPr/>
        <w:t xml:space="preserve">Para as infrações previstas nos itens </w:t>
      </w:r>
      <w:r>
        <w:rPr/>
        <w:fldChar w:fldCharType="begin"/>
      </w:r>
      <w:r>
        <w:instrText> REF _Ref114668085 \r \h </w:instrText>
      </w:r>
      <w:r>
        <w:fldChar w:fldCharType="separate"/>
      </w:r>
      <w:r>
        <w:t>20.1.1</w:t>
      </w:r>
      <w:r>
        <w:fldChar w:fldCharType="end"/>
      </w:r>
      <w:r>
        <w:rPr/>
        <w:t xml:space="preserve">, </w:t>
      </w:r>
      <w:r>
        <w:rPr/>
        <w:fldChar w:fldCharType="begin"/>
      </w:r>
      <w:r>
        <w:instrText> REF _Ref114668108 \r \h </w:instrText>
      </w:r>
      <w:r>
        <w:fldChar w:fldCharType="separate"/>
      </w:r>
      <w:r>
        <w:t>20.1.2</w:t>
      </w:r>
      <w:r>
        <w:fldChar w:fldCharType="end"/>
      </w:r>
      <w:r>
        <w:rPr/>
        <w:t xml:space="preserve"> e </w:t>
      </w:r>
      <w:r>
        <w:rPr/>
        <w:fldChar w:fldCharType="begin"/>
      </w:r>
      <w:r>
        <w:instrText> REF _Ref114668139 \r \h </w:instrText>
      </w:r>
      <w:r>
        <w:fldChar w:fldCharType="separate"/>
      </w:r>
      <w:r>
        <w:t>20.1.3</w:t>
      </w:r>
      <w:r>
        <w:fldChar w:fldCharType="end"/>
      </w:r>
      <w:r>
        <w:rPr/>
        <w:t xml:space="preserve">, a multa será de </w:t>
      </w:r>
      <w:bookmarkStart w:id="64" w:name="__DdeLink__29556_809366665"/>
      <w:r>
        <w:rPr>
          <w:color w:val="FF0000"/>
        </w:rPr>
        <w:t xml:space="preserve">0,5% </w:t>
      </w:r>
      <w:r>
        <w:rPr/>
        <w:t xml:space="preserve">a </w:t>
      </w:r>
      <w:r>
        <w:rPr>
          <w:color w:val="FF0000"/>
        </w:rPr>
        <w:t>15%</w:t>
      </w:r>
      <w:bookmarkEnd w:id="64"/>
      <w:r>
        <w:rPr>
          <w:color w:val="0000FF"/>
        </w:rPr>
        <w:t xml:space="preserve"> </w:t>
      </w:r>
      <w:r>
        <w:rPr/>
        <w:t>do valor do contrato licitado.</w:t>
      </w:r>
    </w:p>
    <w:p>
      <w:pPr>
        <w:pStyle w:val="Nivel3"/>
        <w:numPr>
          <w:ilvl w:val="2"/>
          <w:numId w:val="1"/>
        </w:numPr>
        <w:ind w:left="284" w:hanging="0"/>
        <w:rPr/>
      </w:pPr>
      <w:r>
        <w:rPr/>
        <w:t xml:space="preserve">Para as infrações previstas nos itens </w:t>
      </w:r>
      <w:r>
        <w:rPr/>
        <w:fldChar w:fldCharType="begin"/>
      </w:r>
      <w:r>
        <w:instrText> REF _Ref114668249 \r \h </w:instrText>
      </w:r>
      <w:r>
        <w:fldChar w:fldCharType="separate"/>
      </w:r>
      <w:r>
        <w:t>20.1.4</w:t>
      </w:r>
      <w:r>
        <w:fldChar w:fldCharType="end"/>
      </w:r>
      <w:r>
        <w:rPr/>
        <w:t xml:space="preserve">, </w:t>
      </w:r>
      <w:r>
        <w:rPr/>
        <w:fldChar w:fldCharType="begin"/>
      </w:r>
      <w:r>
        <w:instrText> REF _Ref114668245 \r \h </w:instrText>
      </w:r>
      <w:r>
        <w:fldChar w:fldCharType="separate"/>
      </w:r>
      <w:r>
        <w:t>20.1.5</w:t>
      </w:r>
      <w:r>
        <w:fldChar w:fldCharType="end"/>
      </w:r>
      <w:r>
        <w:rPr/>
        <w:t xml:space="preserve">, </w:t>
      </w:r>
      <w:r>
        <w:rPr/>
        <w:fldChar w:fldCharType="begin"/>
      </w:r>
      <w:r>
        <w:instrText> REF _Ref114668247 \r \h </w:instrText>
      </w:r>
      <w:r>
        <w:fldChar w:fldCharType="separate"/>
      </w:r>
      <w:r>
        <w:t>20.1.6</w:t>
      </w:r>
      <w:r>
        <w:fldChar w:fldCharType="end"/>
      </w:r>
      <w:r>
        <w:rPr/>
        <w:t xml:space="preserve">, </w:t>
      </w:r>
      <w:r>
        <w:rPr/>
        <w:fldChar w:fldCharType="begin"/>
      </w:r>
      <w:r>
        <w:instrText> REF _Ref114668251 \r \h </w:instrText>
      </w:r>
      <w:r>
        <w:fldChar w:fldCharType="separate"/>
      </w:r>
      <w:r>
        <w:t>20.1.7</w:t>
      </w:r>
      <w:r>
        <w:fldChar w:fldCharType="end"/>
      </w:r>
      <w:r>
        <w:rPr/>
        <w:t xml:space="preserve"> e </w:t>
      </w:r>
      <w:r>
        <w:rPr/>
        <w:fldChar w:fldCharType="begin"/>
      </w:r>
      <w:r>
        <w:instrText> REF _Ref114668252 \r \h </w:instrText>
      </w:r>
      <w:r>
        <w:fldChar w:fldCharType="separate"/>
      </w:r>
      <w:r>
        <w:t>20.1.8</w:t>
      </w:r>
      <w:r>
        <w:fldChar w:fldCharType="end"/>
      </w:r>
      <w:r>
        <w:rPr/>
        <w:t xml:space="preserve">, a multa será de </w:t>
      </w:r>
      <w:r>
        <w:rPr>
          <w:color w:val="FF0000"/>
        </w:rPr>
        <w:t>15%</w:t>
      </w:r>
      <w:r>
        <w:rPr>
          <w:color w:val="0000FF"/>
        </w:rPr>
        <w:t xml:space="preserve"> </w:t>
      </w:r>
      <w:r>
        <w:rPr/>
        <w:t xml:space="preserve">a </w:t>
      </w:r>
      <w:r>
        <w:rPr>
          <w:color w:val="FF0000"/>
        </w:rPr>
        <w:t>30%</w:t>
      </w:r>
      <w:r>
        <w:rPr>
          <w:color w:val="0000FF"/>
        </w:rPr>
        <w:t xml:space="preserve"> </w:t>
      </w:r>
      <w:r>
        <w:rPr/>
        <w:t>do valor do contrato licitado.</w:t>
      </w:r>
      <w:commentRangeEnd w:id="31"/>
      <w:r>
        <w:commentReference w:id="31"/>
      </w:r>
      <w:r>
        <w:rPr/>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commentRangeStart w:id="32"/>
      <w:r>
        <w:rPr/>
        <w:t xml:space="preserve">A sanção de impedimento de licitar e contratar será aplicada ao responsável em decorrência das infrações administrativas relacionadas nos itens </w:t>
      </w:r>
      <w:r>
        <w:rPr/>
        <w:fldChar w:fldCharType="begin"/>
      </w:r>
      <w:r>
        <w:instrText> REF _Ref114668085 \r \h </w:instrText>
      </w:r>
      <w:r>
        <w:fldChar w:fldCharType="separate"/>
      </w:r>
      <w:r>
        <w:t>20.1.1</w:t>
      </w:r>
      <w:r>
        <w:fldChar w:fldCharType="end"/>
      </w:r>
      <w:r>
        <w:rPr/>
        <w:t xml:space="preserve">, </w:t>
      </w:r>
      <w:r>
        <w:rPr/>
        <w:fldChar w:fldCharType="begin"/>
      </w:r>
      <w:r>
        <w:instrText> REF _Ref114668108 \r \h </w:instrText>
      </w:r>
      <w:r>
        <w:fldChar w:fldCharType="separate"/>
      </w:r>
      <w:r>
        <w:t>20.1.2</w:t>
      </w:r>
      <w:r>
        <w:fldChar w:fldCharType="end"/>
      </w:r>
      <w:r>
        <w:rPr/>
        <w:t xml:space="preserve"> e </w:t>
      </w:r>
      <w:r>
        <w:rPr/>
        <w:fldChar w:fldCharType="begin"/>
      </w:r>
      <w:r>
        <w:instrText> REF _Ref114668139 \r \h </w:instrText>
      </w:r>
      <w:r>
        <w:fldChar w:fldCharType="separate"/>
      </w:r>
      <w:r>
        <w:t>20.1.3</w:t>
      </w:r>
      <w: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32"/>
      <w:r>
        <w:commentReference w:id="32"/>
      </w:r>
      <w:r>
        <w:rPr/>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instrText> REF _Ref114668249 \r \h </w:instrText>
      </w:r>
      <w:r>
        <w:fldChar w:fldCharType="separate"/>
      </w:r>
      <w:r>
        <w:t>20.1.4</w:t>
      </w:r>
      <w:r>
        <w:fldChar w:fldCharType="end"/>
      </w:r>
      <w:r>
        <w:rPr/>
        <w:t xml:space="preserve">, </w:t>
      </w:r>
      <w:r>
        <w:rPr/>
        <w:fldChar w:fldCharType="begin"/>
      </w:r>
      <w:r>
        <w:instrText> REF _Ref114668245 \r \h </w:instrText>
      </w:r>
      <w:r>
        <w:fldChar w:fldCharType="separate"/>
      </w:r>
      <w:r>
        <w:t>20.1.5</w:t>
      </w:r>
      <w:r>
        <w:fldChar w:fldCharType="end"/>
      </w:r>
      <w:r>
        <w:rPr/>
        <w:t xml:space="preserve">, </w:t>
      </w:r>
      <w:r>
        <w:rPr/>
        <w:fldChar w:fldCharType="begin"/>
      </w:r>
      <w:r>
        <w:instrText> REF _Ref114668247 \r \h </w:instrText>
      </w:r>
      <w:r>
        <w:fldChar w:fldCharType="separate"/>
      </w:r>
      <w:r>
        <w:t>20.1.6</w:t>
      </w:r>
      <w:r>
        <w:fldChar w:fldCharType="end"/>
      </w:r>
      <w:r>
        <w:rPr/>
        <w:t xml:space="preserve">, </w:t>
      </w:r>
      <w:r>
        <w:rPr/>
        <w:fldChar w:fldCharType="begin"/>
      </w:r>
      <w:r>
        <w:instrText> REF _Ref114668251 \r \h </w:instrText>
      </w:r>
      <w:r>
        <w:fldChar w:fldCharType="separate"/>
      </w:r>
      <w:r>
        <w:t>20.1.7</w:t>
      </w:r>
      <w:r>
        <w:fldChar w:fldCharType="end"/>
      </w:r>
      <w:r>
        <w:rPr/>
        <w:t xml:space="preserve"> e </w:t>
      </w:r>
      <w:r>
        <w:rPr/>
        <w:fldChar w:fldCharType="begin"/>
      </w:r>
      <w:r>
        <w:instrText> REF _Ref114668252 \r \h </w:instrText>
      </w:r>
      <w:r>
        <w:fldChar w:fldCharType="separate"/>
      </w:r>
      <w:r>
        <w:t>20.1.8</w:t>
      </w:r>
      <w:r>
        <w:fldChar w:fldCharType="end"/>
      </w:r>
      <w:r>
        <w:rPr/>
        <w:t xml:space="preserve">, bem como pelas infrações administrativas previstas nos itens </w:t>
      </w:r>
      <w:r>
        <w:rPr/>
        <w:fldChar w:fldCharType="begin"/>
      </w:r>
      <w:r>
        <w:instrText> REF _Ref114668085 \r \h </w:instrText>
      </w:r>
      <w:r>
        <w:fldChar w:fldCharType="separate"/>
      </w:r>
      <w:r>
        <w:t>20.1.1</w:t>
      </w:r>
      <w:r>
        <w:fldChar w:fldCharType="end"/>
      </w:r>
      <w:r>
        <w:rPr/>
        <w:t xml:space="preserve">, </w:t>
      </w:r>
      <w:r>
        <w:rPr/>
        <w:fldChar w:fldCharType="begin"/>
      </w:r>
      <w:r>
        <w:instrText> REF _Ref114668108 \r \h </w:instrText>
      </w:r>
      <w:r>
        <w:fldChar w:fldCharType="separate"/>
      </w:r>
      <w:r>
        <w:t>20.1.2</w:t>
      </w:r>
      <w:r>
        <w:fldChar w:fldCharType="end"/>
      </w:r>
      <w:r>
        <w:rPr/>
        <w:t xml:space="preserve"> e </w:t>
      </w:r>
      <w:r>
        <w:rPr/>
        <w:fldChar w:fldCharType="begin"/>
      </w:r>
      <w:r>
        <w:instrText> REF _Ref114668139 \r \h </w:instrText>
      </w:r>
      <w:r>
        <w:fldChar w:fldCharType="separate"/>
      </w:r>
      <w:r>
        <w:t>20.1.3</w:t>
      </w:r>
      <w:r>
        <w:fldChar w:fldCharType="end"/>
      </w:r>
      <w:r>
        <w:rPr/>
        <w:t xml:space="preserve"> que justifiquem a imposição de penalidade mais grave que a sanção de impedimento de licitar e contratar, cuja duração observará o prazo previsto no </w:t>
      </w:r>
      <w:r>
        <w:fldChar w:fldCharType="begin"/>
      </w:r>
      <w:r>
        <w:instrText> HYPERLINK "http://www.planalto.gov.br/ccivil_03/_ato2019-2022/2021/lei/L14133.htm" \l "art156§5"</w:instrText>
      </w:r>
      <w:r>
        <w:fldChar w:fldCharType="separate"/>
      </w:r>
      <w:r>
        <w:rPr>
          <w:rStyle w:val="LinkdaInternet"/>
          <w:color w:val="000000"/>
          <w:u w:val="none"/>
        </w:rPr>
        <w:t>art. 156, §5º, da Lei n.º 14.133/2021</w:t>
      </w:r>
      <w: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instrText> REF _Ref114668139 \r \h </w:instrText>
      </w:r>
      <w:r>
        <w:fldChar w:fldCharType="separate"/>
      </w:r>
      <w:r>
        <w:t>20.1.3</w:t>
      </w:r>
      <w: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4">
        <w:r>
          <w:rPr>
            <w:webHidden/>
            <w:rStyle w:val="LinkdaInternet"/>
            <w:vanish/>
            <w:color w:val="000000"/>
            <w:u w:val="none"/>
          </w:rPr>
          <w:t>art. 45, §4º da IN SEGES/ME n.º 73, de 2022</w:t>
        </w:r>
      </w:hyperlink>
      <w:r>
        <w:rPr/>
        <w:t xml:space="preserve">. </w:t>
      </w:r>
    </w:p>
    <w:p>
      <w:pPr>
        <w:pStyle w:val="Nivel2"/>
        <w:numPr>
          <w:ilvl w:val="1"/>
          <w:numId w:val="1"/>
        </w:numPr>
        <w:ind w:left="0" w:hanging="0"/>
        <w:rPr/>
      </w:pPr>
      <w:commentRangeStart w:id="33"/>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33"/>
      <w:r>
        <w:commentReference w:id="33"/>
      </w:r>
      <w:r>
        <w:rPr/>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commentRangeStart w:id="34"/>
      <w:r>
        <w:rPr/>
        <w:t>A aplicação das sanções previstas neste edital não exclui, em hipótese alguma, a obrigação de reparação integral dos danos causados.</w:t>
      </w:r>
      <w:commentRangeEnd w:id="34"/>
      <w:r>
        <w:commentReference w:id="34"/>
      </w:r>
      <w:r>
        <w:rPr/>
      </w:r>
    </w:p>
    <w:p>
      <w:pPr>
        <w:pStyle w:val="Nivel01"/>
        <w:numPr>
          <w:ilvl w:val="0"/>
          <w:numId w:val="1"/>
        </w:numPr>
        <w:rPr/>
      </w:pPr>
      <w:bookmarkStart w:id="65" w:name="_Toc135469235"/>
      <w:bookmarkEnd w:id="65"/>
      <w:r>
        <w:rPr/>
        <w:t>DA IMPUGNAÇÃO AO EDITAL E DO PEDIDO DE ESCLARECIMENTO</w:t>
      </w:r>
    </w:p>
    <w:p>
      <w:pPr>
        <w:pStyle w:val="Nivel2"/>
        <w:numPr>
          <w:ilvl w:val="1"/>
          <w:numId w:val="1"/>
        </w:numPr>
        <w:ind w:left="0" w:hanging="0"/>
        <w:rPr/>
      </w:pPr>
      <w:r>
        <w:rPr/>
        <w:t xml:space="preserve">Qualquer pessoa é parte legítima para impugnar este Edital por irregularidade na aplicação da </w:t>
      </w:r>
      <w:hyperlink r:id="rId25">
        <w:r>
          <w:rPr>
            <w:webHidden/>
            <w:rStyle w:val="LinkdaInternet"/>
            <w:vanish/>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commentRangeStart w:id="35"/>
      <w:r>
        <w:rPr/>
        <w:t>A impugnação e o pedido de esclarecimento poderão ser realizados por forma eletrônica</w:t>
      </w:r>
      <w:r>
        <w:rPr>
          <w:b w:val="false"/>
          <w:bCs w:val="false"/>
        </w:rPr>
        <w:t xml:space="preserve">, </w:t>
      </w:r>
      <w:r>
        <w:rPr>
          <w:rFonts w:cs="Arial"/>
          <w:b w:val="false"/>
          <w:bCs w:val="false"/>
          <w:color w:val="00000A"/>
          <w:sz w:val="20"/>
          <w:szCs w:val="20"/>
        </w:rPr>
        <w:t xml:space="preserve">pelo e-mail: </w:t>
      </w:r>
      <w:r>
        <w:rPr>
          <w:rFonts w:cs="Arial"/>
          <w:b/>
          <w:bCs/>
          <w:color w:val="0000FF"/>
          <w:sz w:val="20"/>
          <w:szCs w:val="20"/>
        </w:rPr>
        <w:t>licita7becsalc04@gmail.com</w:t>
      </w:r>
      <w:r>
        <w:rPr>
          <w:rFonts w:cs="Arial"/>
          <w:b w:val="false"/>
          <w:bCs w:val="false"/>
          <w:color w:val="00000A"/>
          <w:sz w:val="20"/>
          <w:szCs w:val="20"/>
        </w:rPr>
        <w:t>, ou por petição dirigida e/ou protocolada no endereço:</w:t>
      </w:r>
      <w:r>
        <w:rPr>
          <w:rFonts w:cs="Arial"/>
          <w:b/>
          <w:bCs/>
          <w:color w:val="00000A"/>
          <w:sz w:val="20"/>
          <w:szCs w:val="20"/>
        </w:rPr>
        <w:t xml:space="preserve"> Avenida Nações Unidas</w:t>
      </w:r>
      <w:r>
        <w:rPr>
          <w:rFonts w:cs="Arial"/>
          <w:b w:val="false"/>
          <w:bCs w:val="false"/>
          <w:color w:val="00000A"/>
          <w:sz w:val="20"/>
          <w:szCs w:val="20"/>
        </w:rPr>
        <w:t>,</w:t>
      </w:r>
      <w:r>
        <w:rPr>
          <w:rFonts w:cs="Arial"/>
          <w:b/>
          <w:bCs/>
          <w:color w:val="00000A"/>
          <w:sz w:val="20"/>
          <w:szCs w:val="20"/>
        </w:rPr>
        <w:t xml:space="preserve"> nº 2.100</w:t>
      </w:r>
      <w:r>
        <w:rPr>
          <w:rFonts w:cs="Arial"/>
          <w:b w:val="false"/>
          <w:bCs w:val="false"/>
          <w:color w:val="00000A"/>
          <w:sz w:val="20"/>
          <w:szCs w:val="20"/>
        </w:rPr>
        <w:t>,</w:t>
      </w:r>
      <w:r>
        <w:rPr>
          <w:rFonts w:cs="Arial"/>
          <w:b/>
          <w:bCs/>
          <w:color w:val="00000A"/>
          <w:sz w:val="20"/>
          <w:szCs w:val="20"/>
        </w:rPr>
        <w:t xml:space="preserve"> 7º BEC</w:t>
      </w:r>
      <w:r>
        <w:rPr>
          <w:rFonts w:cs="Arial"/>
          <w:b w:val="false"/>
          <w:bCs w:val="false"/>
          <w:color w:val="00000A"/>
          <w:sz w:val="20"/>
          <w:szCs w:val="20"/>
        </w:rPr>
        <w:t>,</w:t>
      </w:r>
      <w:r>
        <w:rPr>
          <w:rFonts w:cs="Arial"/>
          <w:b/>
          <w:bCs/>
          <w:color w:val="00000A"/>
          <w:sz w:val="20"/>
          <w:szCs w:val="20"/>
        </w:rPr>
        <w:t xml:space="preserve"> Rio Branco–AC</w:t>
      </w:r>
      <w:r>
        <w:rPr>
          <w:rFonts w:cs="Arial"/>
          <w:b w:val="false"/>
          <w:bCs w:val="false"/>
          <w:color w:val="00000A"/>
          <w:sz w:val="20"/>
          <w:szCs w:val="20"/>
        </w:rPr>
        <w:t xml:space="preserve">, </w:t>
      </w:r>
      <w:r>
        <w:rPr>
          <w:rFonts w:cs="Arial"/>
          <w:b/>
          <w:bCs/>
          <w:color w:val="00000A"/>
          <w:sz w:val="20"/>
          <w:szCs w:val="20"/>
        </w:rPr>
        <w:t>CEP: 69.918-093</w:t>
      </w:r>
      <w:r>
        <w:rPr>
          <w:rFonts w:cs="Arial"/>
          <w:b w:val="false"/>
          <w:bCs w:val="false"/>
          <w:color w:val="00000A"/>
          <w:sz w:val="20"/>
          <w:szCs w:val="20"/>
        </w:rPr>
        <w:t xml:space="preserve">, na </w:t>
      </w:r>
      <w:r>
        <w:rPr>
          <w:rFonts w:cs="Arial"/>
          <w:b/>
          <w:bCs/>
          <w:color w:val="00000A"/>
          <w:sz w:val="20"/>
          <w:szCs w:val="20"/>
        </w:rPr>
        <w:t>Seção do Protocolo do 7º BEC</w:t>
      </w:r>
      <w:r>
        <w:rPr>
          <w:color w:val="000000"/>
        </w:rPr>
        <w:t>.</w:t>
      </w:r>
      <w:commentRangeEnd w:id="35"/>
      <w:r>
        <w:commentReference w:id="35"/>
      </w:r>
      <w:r>
        <w:rPr>
          <w:color w:val="000000"/>
        </w:rPr>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commentRangeStart w:id="36"/>
      <w:r>
        <w:rPr/>
        <w:t>A concessão de efeito suspensivo à impugnação é medida excepcional e deverá ser motivada pelo agente de contratação, nos autos do processo de licitação.</w:t>
      </w:r>
      <w:commentRangeEnd w:id="36"/>
      <w:r>
        <w:commentReference w:id="36"/>
      </w:r>
      <w:r>
        <w:rPr/>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6" w:name="_Toc135469236"/>
      <w:bookmarkEnd w:id="66"/>
      <w:r>
        <w:rPr/>
        <w:t>DAS DISPOSIÇÕES GERAIS</w:t>
      </w:r>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pPr>
      <w:r>
        <w:rPr/>
        <w:t xml:space="preserve">O Edital e seus anexos estão disponíveis, na íntegra, no Portal Nacional de Contratações Públicas (PNCP) e endereço eletrônico: </w:t>
      </w:r>
      <w:r>
        <w:rPr>
          <w:rFonts w:cs="Arial"/>
          <w:b/>
          <w:bCs/>
          <w:color w:val="0000FF"/>
          <w:sz w:val="20"/>
          <w:szCs w:val="20"/>
        </w:rPr>
        <w:t>licita7becsalc04@gmail.com</w:t>
      </w:r>
      <w:r>
        <w:rPr/>
        <w:t>.</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 Unificado</w:t>
      </w:r>
    </w:p>
    <w:p>
      <w:pPr>
        <w:pStyle w:val="Nivel4"/>
        <w:widowControl/>
        <w:numPr>
          <w:ilvl w:val="3"/>
          <w:numId w:val="1"/>
        </w:numPr>
        <w:bidi w:val="0"/>
        <w:spacing w:lineRule="auto" w:line="276" w:before="120" w:after="120"/>
        <w:ind w:left="1417" w:right="0" w:hanging="0"/>
        <w:jc w:val="both"/>
        <w:rPr/>
      </w:pPr>
      <w:r>
        <w:rPr/>
        <w:t>Adendo A ao Anexo I – Estudo Técnico Preliminar</w:t>
      </w:r>
    </w:p>
    <w:p>
      <w:pPr>
        <w:pStyle w:val="Nivel4"/>
        <w:widowControl/>
        <w:numPr>
          <w:ilvl w:val="3"/>
          <w:numId w:val="1"/>
        </w:numPr>
        <w:bidi w:val="0"/>
        <w:spacing w:lineRule="auto" w:line="276" w:before="120" w:after="120"/>
        <w:ind w:left="1417" w:right="0" w:hanging="0"/>
        <w:jc w:val="both"/>
        <w:rPr/>
      </w:pPr>
      <w:r>
        <w:rPr/>
        <w:t>Adendo B ao Anexo I – Gerenciamento de Riscos (Mapa de Riscos)</w:t>
      </w:r>
    </w:p>
    <w:p>
      <w:pPr>
        <w:pStyle w:val="Nivel4"/>
        <w:widowControl/>
        <w:numPr>
          <w:ilvl w:val="3"/>
          <w:numId w:val="1"/>
        </w:numPr>
        <w:bidi w:val="0"/>
        <w:spacing w:lineRule="auto" w:line="276" w:before="120" w:after="120"/>
        <w:ind w:left="1417" w:right="0" w:hanging="0"/>
        <w:jc w:val="both"/>
        <w:rPr/>
      </w:pPr>
      <w:r>
        <w:rPr/>
        <w:t>Apêndice A ao Anexo I – Descrição dos Itens e Quantitativos Distribuídos pelo Órgão Gerenciador e Unidade(s) Gestora(s) Participante(s) - (UGPs)</w:t>
      </w:r>
    </w:p>
    <w:p>
      <w:pPr>
        <w:pStyle w:val="Nivel4"/>
        <w:widowControl/>
        <w:numPr>
          <w:ilvl w:val="3"/>
          <w:numId w:val="1"/>
        </w:numPr>
        <w:bidi w:val="0"/>
        <w:spacing w:lineRule="auto" w:line="276" w:before="120" w:after="120"/>
        <w:ind w:left="1417" w:right="0" w:hanging="0"/>
        <w:jc w:val="both"/>
        <w:rPr/>
      </w:pPr>
      <w:r>
        <w:rPr/>
        <w:t>Apêndice B ao Anexo I – Estimativas Unificadas do Órgão Gerenciador e UGPs (Requisição Máxima e Mínima)</w:t>
      </w:r>
    </w:p>
    <w:p>
      <w:pPr>
        <w:pStyle w:val="Nivel4"/>
        <w:widowControl/>
        <w:numPr>
          <w:ilvl w:val="3"/>
          <w:numId w:val="1"/>
        </w:numPr>
        <w:bidi w:val="0"/>
        <w:spacing w:lineRule="auto" w:line="276" w:before="120" w:after="120"/>
        <w:ind w:left="1417" w:right="0" w:hanging="0"/>
        <w:jc w:val="both"/>
        <w:rPr/>
      </w:pPr>
      <w:r>
        <w:rPr/>
        <w:t>Apêndice C ao Anexo I – Mapa Comprativo de Preços (Valor Estimado da Administração)</w:t>
      </w:r>
    </w:p>
    <w:p>
      <w:pPr>
        <w:pStyle w:val="Nivel3"/>
        <w:numPr>
          <w:ilvl w:val="2"/>
          <w:numId w:val="1"/>
        </w:numPr>
        <w:ind w:left="284" w:hanging="0"/>
        <w:rPr/>
      </w:pPr>
      <w:r>
        <w:rPr/>
        <w:t>ANEXO II – Minuta de Termo de Contrato</w:t>
      </w:r>
    </w:p>
    <w:p>
      <w:pPr>
        <w:pStyle w:val="Nivel3"/>
        <w:numPr>
          <w:ilvl w:val="2"/>
          <w:numId w:val="1"/>
        </w:numPr>
        <w:ind w:left="284" w:hanging="0"/>
        <w:rPr/>
      </w:pPr>
      <w:r>
        <w:rPr/>
        <w:t>ANEXO III – Minuta de Ata de Registro de Preços</w:t>
      </w:r>
    </w:p>
    <w:p>
      <w:pPr>
        <w:pStyle w:val="Nivel3"/>
        <w:numPr>
          <w:ilvl w:val="2"/>
          <w:numId w:val="1"/>
        </w:numPr>
        <w:ind w:left="284" w:hanging="0"/>
        <w:rPr/>
      </w:pPr>
      <w:r>
        <w:rPr/>
        <w:t xml:space="preserve">ANEXO IV – </w:t>
      </w:r>
      <w:r>
        <w:rPr>
          <w:rFonts w:cs="Arial"/>
          <w:b w:val="false"/>
          <w:bCs w:val="false"/>
          <w:iCs/>
          <w:color w:val="000000"/>
          <w:sz w:val="20"/>
          <w:szCs w:val="20"/>
        </w:rPr>
        <w:t xml:space="preserve">Minuta </w:t>
      </w:r>
      <w:r>
        <w:rPr>
          <w:rFonts w:eastAsia="TimesNewRomanPSMT" w:cs="Ecofont_Spranq_eco_Sans"/>
          <w:b w:val="false"/>
          <w:bCs w:val="false"/>
          <w:i w:val="false"/>
          <w:iCs/>
          <w:color w:val="000000"/>
          <w:sz w:val="20"/>
          <w:szCs w:val="20"/>
          <w:u w:val="none"/>
          <w:lang w:eastAsia="ar-SA"/>
        </w:rPr>
        <w:t>da Carta de Apresentação da Proposta de Preços</w:t>
      </w:r>
    </w:p>
    <w:p>
      <w:pPr>
        <w:pStyle w:val="Nivel3"/>
        <w:numPr>
          <w:ilvl w:val="2"/>
          <w:numId w:val="1"/>
        </w:numPr>
        <w:ind w:left="284" w:hanging="0"/>
        <w:rPr/>
      </w:pPr>
      <w:r>
        <w:rPr>
          <w:rFonts w:cs="Arial"/>
          <w:bCs/>
          <w:iCs/>
          <w:color w:val="000000"/>
          <w:sz w:val="20"/>
          <w:szCs w:val="20"/>
        </w:rPr>
        <w:t xml:space="preserve">ANEXO V – Declaração de Sustentabilidade Sócio-Ambiental </w:t>
      </w:r>
    </w:p>
    <w:p>
      <w:pPr>
        <w:pStyle w:val="Nvel3R"/>
        <w:numPr>
          <w:ilvl w:val="0"/>
          <w:numId w:val="0"/>
        </w:numPr>
        <w:ind w:left="644" w:hanging="0"/>
        <w:rPr>
          <w:highlight w:val="cyan"/>
        </w:rPr>
      </w:pPr>
      <w:r>
        <w:rPr>
          <w:highlight w:val="cyan"/>
        </w:rPr>
      </w:r>
    </w:p>
    <w:p>
      <w:pPr>
        <w:pStyle w:val="Normal"/>
        <w:widowControl w:val="false"/>
        <w:spacing w:lineRule="auto" w:line="240" w:before="0" w:after="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40" w:before="0" w:after="0"/>
        <w:ind w:right="-30" w:hanging="0"/>
        <w:jc w:val="center"/>
        <w:rPr/>
      </w:pPr>
      <w:r>
        <w:rPr>
          <w:rFonts w:cs="Arial" w:ascii="Arial" w:hAnsi="Arial"/>
          <w:color w:val="000000"/>
          <w:sz w:val="20"/>
          <w:szCs w:val="20"/>
        </w:rPr>
        <w:t xml:space="preserve">Rio Branco, AC, </w:t>
      </w:r>
      <w:r>
        <w:rPr>
          <w:rFonts w:cs="Arial" w:ascii="Arial" w:hAnsi="Arial"/>
          <w:color w:val="0000FF"/>
          <w:sz w:val="20"/>
          <w:szCs w:val="20"/>
        </w:rPr>
        <w:t xml:space="preserve">18 </w:t>
      </w:r>
      <w:r>
        <w:rPr>
          <w:rFonts w:cs="Arial" w:ascii="Arial" w:hAnsi="Arial"/>
          <w:color w:val="000000"/>
          <w:sz w:val="20"/>
          <w:szCs w:val="20"/>
        </w:rPr>
        <w:t xml:space="preserve">de </w:t>
      </w:r>
      <w:r>
        <w:rPr>
          <w:rFonts w:cs="Arial" w:ascii="Arial" w:hAnsi="Arial"/>
          <w:color w:val="0000FF"/>
          <w:sz w:val="20"/>
          <w:szCs w:val="20"/>
        </w:rPr>
        <w:t>janeiro</w:t>
      </w:r>
      <w:r>
        <w:rPr>
          <w:rFonts w:cs="Arial" w:ascii="Arial" w:hAnsi="Arial"/>
          <w:color w:val="000000"/>
          <w:sz w:val="20"/>
          <w:szCs w:val="20"/>
        </w:rPr>
        <w:t xml:space="preserve"> de </w:t>
      </w:r>
      <w:r>
        <w:rPr>
          <w:rFonts w:cs="Arial" w:ascii="Arial" w:hAnsi="Arial"/>
          <w:color w:val="0000FF"/>
          <w:sz w:val="20"/>
          <w:szCs w:val="20"/>
        </w:rPr>
        <w:t>2024.</w:t>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pPr>
      <w:r>
        <w:rPr>
          <w:rFonts w:cs="Arial" w:ascii="Arial" w:hAnsi="Arial"/>
          <w:color w:val="000000"/>
          <w:sz w:val="20"/>
          <w:szCs w:val="20"/>
        </w:rPr>
        <w:t>_______________________________________________</w:t>
      </w:r>
    </w:p>
    <w:p>
      <w:pPr>
        <w:pStyle w:val="Normal"/>
        <w:spacing w:lineRule="auto" w:line="240" w:before="0" w:after="0"/>
        <w:jc w:val="center"/>
        <w:rPr/>
      </w:pPr>
      <w:r>
        <w:rPr>
          <w:rFonts w:cs="Arial" w:ascii="Arial" w:hAnsi="Arial"/>
          <w:b/>
          <w:bCs/>
          <w:color w:val="000000"/>
          <w:sz w:val="20"/>
          <w:szCs w:val="20"/>
        </w:rPr>
        <w:t xml:space="preserve">ABELARDO SILVA DE FARIA FILHO – Ten Cel </w:t>
      </w:r>
    </w:p>
    <w:p>
      <w:pPr>
        <w:pStyle w:val="Normal"/>
        <w:spacing w:lineRule="auto" w:line="240" w:before="0" w:after="0"/>
        <w:jc w:val="center"/>
        <w:rPr/>
      </w:pPr>
      <w:bookmarkStart w:id="67" w:name="__DdeLink__4771_1487225539"/>
      <w:bookmarkEnd w:id="67"/>
      <w:r>
        <w:rPr>
          <w:rFonts w:eastAsia="MS Mincho" w:cs="Arial" w:ascii="Arial" w:hAnsi="Arial"/>
          <w:b/>
          <w:color w:val="000000"/>
          <w:sz w:val="20"/>
          <w:szCs w:val="20"/>
        </w:rPr>
        <w:t>Ordenador de Despesas Substituto do 7º BEC</w:t>
      </w:r>
    </w:p>
    <w:sectPr>
      <w:headerReference w:type="default" r:id="rId26"/>
      <w:headerReference w:type="first" r:id="rId27"/>
      <w:footerReference w:type="default" r:id="rId28"/>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color w:val="00000A"/>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rPr>
          <w:rFonts w:ascii="Liberation Serif" w:hAnsi="Liberation Serif" w:eastAsia="Segoe UI"/>
          <w:color w:val="00000A"/>
          <w:lang w:val="en-US" w:eastAsia="en-US" w:bidi="en-US"/>
        </w:rPr>
        <w:t>inciso IV do art. 19 da Lei nº 14.133, de 1º de abril de 2021</w:t>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color w:val="00000A"/>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rPr>
          <w:rFonts w:ascii="Liberation Serif" w:hAnsi="Liberation Serif" w:eastAsia="Segoe UI"/>
          <w:color w:val="00000A"/>
          <w:lang w:val="en-US" w:eastAsia="en-US" w:bidi="en-US"/>
        </w:rPr>
        <w:t>Art. 55, I, a, e II, a, da Lei nº 14.133, de 2021</w:t>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rPr>
          <w:rFonts w:ascii="Liberation Serif" w:hAnsi="Liberation Serif" w:eastAsia="Segoe UI"/>
          <w:color w:val="00000A"/>
          <w:lang w:val="en-US" w:eastAsia="en-US" w:bidi="en-US"/>
        </w:rPr>
        <w:t>Art. 55, §2º, da Lei nº 14.133, de 2021</w:t>
      </w:r>
      <w:r>
        <w:rPr>
          <w:rFonts w:ascii="Liberation Serif" w:hAnsi="Liberation Serif" w:eastAsia="Segoe UI"/>
          <w:i/>
          <w:iCs/>
          <w:color w:val="000000"/>
          <w:lang w:val="en-US" w:eastAsia="en-US" w:bidi="en-US"/>
        </w:rPr>
        <w:t>). Sempre é importante confirmar o prazo correto no art. 55 da Lei.</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Adotar esse item somente se a licitação for para registro de preços.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color w:val="00000A"/>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rPr>
          <w:rFonts w:ascii="Liberation Serif" w:hAnsi="Liberation Serif" w:eastAsia="Segoe UI"/>
          <w:color w:val="00000A"/>
          <w:lang w:val="en-US" w:eastAsia="en-US" w:bidi="en-US"/>
        </w:rPr>
        <w:t>conforme art. 48 da Lei Complementar nº 123, de 2006.</w:t>
      </w:r>
    </w:p>
    <w:p>
      <w:r>
        <w:rPr>
          <w:rFonts w:ascii="Liberation Serif" w:hAnsi="Liberation Serif" w:eastAsia="Segoe UI"/>
          <w:i/>
          <w:iCs/>
          <w:color w:val="00000A"/>
          <w:lang w:val="en-US" w:eastAsia="en-US" w:bidi="en-US"/>
        </w:rPr>
        <w:t xml:space="preserve">Nos termos do </w:t>
      </w:r>
      <w:r>
        <w:rPr>
          <w:rFonts w:ascii="Liberation Serif" w:hAnsi="Liberation Serif" w:eastAsia="Segoe UI"/>
          <w:color w:val="00000A"/>
          <w:lang w:val="en-US" w:eastAsia="en-US" w:bidi="en-US"/>
        </w:rPr>
        <w:t>art. 4º, §1º, da Lei nº 14.133, de 2021</w:t>
      </w:r>
      <w:r>
        <w:rPr>
          <w:rFonts w:ascii="Liberation Serif" w:hAnsi="Liberation Serif" w:eastAsia="Segoe UI"/>
          <w:i/>
          <w:iCs/>
          <w:color w:val="00000A"/>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color w:val="00000A"/>
          <w:lang w:val="en-US" w:eastAsia="en-US" w:bidi="en-US"/>
        </w:rPr>
        <w:t>Nas contratações com prazo de vigência superior a 1 (um) ano, será considerado o valor anual do contrato na aplicação dos limites acima estabelecidos (</w:t>
      </w:r>
      <w:r>
        <w:rPr>
          <w:rFonts w:ascii="Liberation Serif" w:hAnsi="Liberation Serif" w:eastAsia="Segoe UI"/>
          <w:color w:val="00000A"/>
          <w:lang w:val="en-US" w:eastAsia="en-US" w:bidi="en-US"/>
        </w:rPr>
        <w:t>art. 4º, §3º, da Lei nº 14.133/2021</w:t>
      </w:r>
      <w:r>
        <w:rPr>
          <w:rFonts w:ascii="Liberation Serif" w:hAnsi="Liberation Serif" w:eastAsia="Segoe UI"/>
          <w:i/>
          <w:iCs/>
          <w:color w:val="00000A"/>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4" w:author="Autor" w:date="0-00-00T00:00:00Z" w:initials="A">
    <w:p>
      <w:r>
        <w:rPr>
          <w:rFonts w:ascii="Liberation Serif" w:hAnsi="Liberation Serif" w:eastAsia="Segoe UI"/>
          <w:color w:val="00000A"/>
          <w:lang w:val="en-US" w:eastAsia="en-US" w:bidi="en-US"/>
        </w:rPr>
        <w:t>Nota explicativa: 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color w:val="00000A"/>
          <w:lang w:val="en-US" w:eastAsia="en-US" w:bidi="en-US"/>
        </w:rPr>
        <w:t xml:space="preserve">    a) os empregados do contratado fiquem à disposição nas dependências do contratante para a prestação dos serviços;</w:t>
      </w:r>
    </w:p>
    <w:p>
      <w:r>
        <w:rPr>
          <w:rFonts w:ascii="Liberation Serif" w:hAnsi="Liberation Serif" w:eastAsia="Segoe UI"/>
          <w:color w:val="00000A"/>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color w:val="00000A"/>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color w:val="00000A"/>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color w:val="00000A"/>
          <w:lang w:val="en-US" w:eastAsia="en-US" w:bidi="en-US"/>
        </w:rPr>
        <w:t>art. 15, caput, da Lei nº 14.133, de 2021.</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6" w:author="Autor" w:date="0-00-00T00:00:00Z" w:initials="A">
    <w:p>
      <w:r>
        <w:rPr>
          <w:rFonts w:ascii="Liberation Serif" w:hAnsi="Liberation Serif" w:eastAsia="Segoe UI"/>
          <w:color w:val="00000A"/>
          <w:lang w:val="en-US" w:eastAsia="en-US" w:bidi="en-US"/>
        </w:rPr>
        <w:t xml:space="preserve">Nota explicativa: A fase de habilitação poderá, mediante ato motivado com explicitação dos benefícios decorrentes, anteceder as fases de apresentação de propostas e lances, nos termos do art. 17, §1º, da Lei nº 14.133, de 2021. No entanto, tal funcionalidade não está disponível ainda no sistema. Após a disponibilização e sendo essa a opção do órgão, utilizar a seguinte redação: </w:t>
      </w:r>
    </w:p>
    <w:p>
      <w:r>
        <w:rPr>
          <w:rFonts w:ascii="Liberation Serif" w:hAnsi="Liberation Serif" w:eastAsia="Segoe UI"/>
          <w:color w:val="00000A"/>
          <w:lang w:val="en-US" w:eastAsia="en-US" w:bidi="en-US"/>
        </w:rPr>
        <w:t>3.1.Na presente licitação, a fase de habilitação antecederá a fase de apresentação de propostas e lances.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rPr>
          <w:rFonts w:ascii="Liberation Serif" w:hAnsi="Liberation Serif" w:eastAsia="Segoe UI"/>
          <w:color w:val="00000A"/>
          <w:lang w:val="en-US" w:eastAsia="en-US" w:bidi="en-US"/>
        </w:rPr>
        <w:t>artigo 19 da Instrução Normativa SEGES nº 73, de 30 de setembro de 2022</w:t>
      </w:r>
      <w:r>
        <w:rPr>
          <w:rFonts w:ascii="Liberation Serif" w:hAnsi="Liberation Serif" w:eastAsia="Segoe UI"/>
          <w:i/>
          <w:iCs/>
          <w:color w:val="00000A"/>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rPr>
          <w:rFonts w:ascii="Liberation Serif" w:hAnsi="Liberation Serif" w:eastAsia="Segoe UI"/>
          <w:color w:val="00000A"/>
          <w:lang w:val="en-US" w:eastAsia="en-US" w:bidi="en-US"/>
        </w:rPr>
        <w:t>Instrução Normativa SEGES nº 73, de 30 de setembro de 2022 (art. 19, § 1º</w:t>
      </w:r>
      <w:r>
        <w:rPr>
          <w:rFonts w:ascii="Liberation Serif" w:hAnsi="Liberation Serif" w:eastAsia="Segoe UI"/>
          <w:i/>
          <w:iCs/>
          <w:color w:val="000000"/>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1"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Art. 15, IV, do Decreto nº 11.462/2023.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2" w:author="Autor" w:date="0-00-00T00:00:00Z" w:initials="A">
    <w:p>
      <w:r>
        <w:rPr>
          <w:rFonts w:ascii="Liberation Serif" w:hAnsi="Liberation Serif" w:eastAsia="Segoe UI"/>
          <w:b/>
          <w:bCs/>
          <w:color w:val="00000A"/>
          <w:lang w:val="en-US" w:eastAsia="en-US" w:bidi="en-US"/>
        </w:rPr>
        <w:t>Nota explicativa</w:t>
      </w:r>
      <w:r>
        <w:rPr>
          <w:rFonts w:ascii="Liberation Serif" w:hAnsi="Liberation Serif" w:eastAsia="Segoe UI"/>
          <w:color w:val="00000A"/>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Segoe UI"/>
          <w:color w:val="00000A"/>
          <w:lang w:val="en-US" w:eastAsia="en-US" w:bidi="en-US"/>
        </w:rPr>
        <w:t>Nos autos do processo deverá constar análise do enquadramento ou não da atividade entre as hipóteses abrangidas pelo SIMPLES, de modo a justificar a redação adotada no edital.</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rPr>
          <w:rFonts w:ascii="Liberation Serif" w:hAnsi="Liberation Serif" w:eastAsia="Segoe UI"/>
          <w:color w:val="00000A"/>
          <w:lang w:val="en-US" w:eastAsia="en-US" w:bidi="en-US"/>
        </w:rPr>
        <w:t>art. 90, §3º, e art. 155, VI, da Lei nº 14.133, de 2021</w:t>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4" w:author="Autor" w:date="0-00-00T00:00:00Z" w:initials="A">
    <w:p>
      <w:r>
        <w:rPr>
          <w:rFonts w:ascii="Liberation Serif" w:hAnsi="Liberation Serif" w:eastAsia="Segoe UI"/>
          <w:color w:val="00000A"/>
          <w:lang w:val="en-US" w:eastAsia="en-US" w:bidi="en-US"/>
        </w:rPr>
        <w:t>Nota explicativa: Conforme especificações do sistema operacional, a etapa de lances sempre acontece por item e os lances são enviados sempre por valor unitário.</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rPr>
          <w:rFonts w:ascii="Liberation Serif" w:hAnsi="Liberation Serif" w:eastAsia="Segoe UI"/>
          <w:color w:val="00000A"/>
          <w:lang w:val="en-US" w:eastAsia="en-US" w:bidi="en-US"/>
        </w:rPr>
        <w:t>artigo 22, § 1º, da Instrução Normativa SEGES nº 73, de 30 de setembro de 2022</w:t>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r>
        <w:rPr>
          <w:rFonts w:ascii="Liberation Serif" w:hAnsi="Liberation Serif" w:eastAsia="Segoe UI"/>
          <w:color w:val="00000A"/>
          <w:lang w:val="en-US" w:eastAsia="en-US" w:bidi="en-US"/>
        </w:rPr>
        <w:t>art. 29, § 2º, da IN SEGES nº 73, de 30 de setembro de 2022</w:t>
      </w:r>
      <w:r>
        <w:rPr>
          <w:rFonts w:ascii="Liberation Serif" w:hAnsi="Liberation Serif" w:eastAsia="Segoe UI"/>
          <w:i/>
          <w:iCs/>
          <w:color w:val="000000"/>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8"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A recomendação de consulta a esses cadastros se dá à luz do </w:t>
      </w:r>
      <w:r>
        <w:rPr>
          <w:rFonts w:ascii="Liberation Serif" w:hAnsi="Liberation Serif" w:eastAsia="Segoe UI"/>
          <w:color w:val="00000A"/>
          <w:lang w:val="en-US" w:eastAsia="en-US" w:bidi="en-US"/>
        </w:rPr>
        <w:t>§ 4º do art. 91, da Lei nº 14.133, de 2021</w:t>
      </w:r>
      <w:r>
        <w:rPr>
          <w:rFonts w:ascii="Liberation Serif" w:hAnsi="Liberation Serif" w:eastAsia="Segoe UI"/>
          <w:i/>
          <w:iCs/>
          <w:color w:val="00000A"/>
          <w:lang w:val="en-US" w:eastAsia="en-US" w:bidi="en-US"/>
        </w:rPr>
        <w:t>, sem prejuízo da possibilidade, a critério do órgão respectivo, de consulta complementar a outros cadastros análogos, tais como os mantidos pelo Tribunal de Contas da União – TCU.</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000000"/>
          <w:lang w:eastAsia="en-US" w:bidi="en-US" w:val="pt-BR"/>
        </w:rPr>
        <w:t xml:space="preserve">Se o regime é o de empreitada por preço unitário, cabe desclassificação em razão de custos unitários superiores aos orçados pela Administração, conforme </w:t>
      </w:r>
      <w:r>
        <w:rPr>
          <w:rFonts w:ascii="Liberation Serif" w:hAnsi="Liberation Serif" w:eastAsia="Segoe UI"/>
          <w:color w:val="00000A"/>
          <w:lang w:eastAsia="en-US" w:bidi="en-US" w:val="en-US"/>
        </w:rPr>
        <w:t>art. 59, §3º, da Lei nº 14.133/2021</w:t>
      </w:r>
      <w:r>
        <w:rPr>
          <w:rFonts w:ascii="Liberation Serif" w:hAnsi="Liberation Serif" w:eastAsia="Segoe UI"/>
          <w:i/>
          <w:iCs/>
          <w:color w:val="000000"/>
          <w:lang w:eastAsia="en-US" w:bidi="en-US" w:val="pt-BR"/>
        </w:rPr>
        <w:t xml:space="preserve">, que expressamente se refere ao </w:t>
      </w:r>
      <w:r>
        <w:rPr>
          <w:rFonts w:ascii="Liberation Serif" w:hAnsi="Liberation Serif" w:eastAsia="Segoe UI"/>
          <w:i/>
          <w:iCs/>
          <w:color w:val="000000"/>
          <w:lang w:eastAsia="en-US" w:bidi="en-US" w:val="en-US"/>
        </w:rPr>
        <w:t xml:space="preserve">critério de aceitabilidade de preços unitário e global a </w:t>
      </w:r>
      <w:r>
        <w:rPr>
          <w:rFonts w:ascii="Liberation Serif" w:hAnsi="Liberation Serif" w:eastAsia="Segoe UI"/>
          <w:b/>
          <w:bCs/>
          <w:i/>
          <w:iCs/>
          <w:color w:val="000000"/>
          <w:lang w:eastAsia="en-US" w:bidi="en-US" w:val="en-US"/>
        </w:rPr>
        <w:t>ser fixado no edital</w:t>
      </w:r>
      <w:r>
        <w:rPr>
          <w:rFonts w:ascii="Liberation Serif" w:hAnsi="Liberation Serif" w:eastAsia="Segoe UI"/>
          <w:i/>
          <w:iCs/>
          <w:color w:val="000000"/>
          <w:lang w:eastAsia="en-US" w:bidi="en-US" w:val="en-US"/>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0" w:author="Autor" w:date="0-00-00T00:00:00Z" w:initials="A">
    <w:p>
      <w:r>
        <w:rPr>
          <w:rFonts w:ascii="Liberation Serif" w:hAnsi="Liberation Serif" w:eastAsia="Segoe UI"/>
          <w:b/>
          <w:bCs/>
          <w:i/>
          <w:iCs/>
          <w:color w:val="00000A"/>
          <w:lang w:val="en-US" w:eastAsia="en-US" w:bidi="en-US"/>
        </w:rPr>
        <w:t>Nota explicativa 1</w:t>
      </w:r>
      <w:r>
        <w:rPr>
          <w:rFonts w:ascii="Liberation Serif" w:hAnsi="Liberation Serif" w:eastAsia="Segoe UI"/>
          <w:i/>
          <w:iCs/>
          <w:color w:val="00000A"/>
          <w:lang w:val="en-US" w:eastAsia="en-US" w:bidi="en-US"/>
        </w:rPr>
        <w:t>: A decisão quanto à exigência de amostra e suas especificidades consta do Termo de Referência.</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r>
        <w:rPr>
          <w:rFonts w:ascii="Liberation Serif" w:hAnsi="Liberation Serif" w:eastAsia="Segoe UI"/>
          <w:color w:val="00000A"/>
          <w:lang w:val="en-US" w:eastAsia="en-US" w:bidi="en-US"/>
        </w:rPr>
        <w:t>artigo 18, §2º, da IN SEGES nº 73, de 30 de setembro de 2022</w:t>
      </w:r>
      <w:r>
        <w:rPr>
          <w:rFonts w:ascii="Liberation Serif" w:hAnsi="Liberation Serif" w:eastAsia="Segoe UI"/>
          <w:i/>
          <w:iCs/>
          <w:color w:val="000000"/>
          <w:lang w:val="en-US" w:eastAsia="en-US" w:bidi="en-US"/>
        </w:rPr>
        <w:t xml:space="preserve">, obriga a apresentação dessa declaração. </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r>
        <w:rPr>
          <w:rFonts w:ascii="Liberation Serif" w:hAnsi="Liberation Serif" w:eastAsia="Segoe UI"/>
          <w:color w:val="00000A"/>
          <w:lang w:val="en-US" w:eastAsia="en-US" w:bidi="en-US"/>
        </w:rPr>
        <w:t>Decreto nº 10.024/2019</w:t>
      </w:r>
      <w:r>
        <w:rPr>
          <w:rFonts w:ascii="Liberation Serif" w:hAnsi="Liberation Serif" w:eastAsia="Segoe UI"/>
          <w:i/>
          <w:iCs/>
          <w:color w:val="000000"/>
          <w:lang w:val="en-US" w:eastAsia="en-US" w:bidi="en-US"/>
        </w:rPr>
        <w:t>, está em consonância com a novel legislação.</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3"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Adotar esse item apenas se a licitação for para registro de preços.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4"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Conforme art. 19, § 1º,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5"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Conforme art. 18, § 4º,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6"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Art. 21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7"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Conforme art. 20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8"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Conforme artigo 18, § 2º,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9" w:author="Autor" w:date="0-00-00T00:00:00Z" w:initials="A">
    <w:p>
      <w:r>
        <w:rPr>
          <w:rFonts w:ascii="Liberation Serif" w:hAnsi="Liberation Serif" w:eastAsia="Segoe UI"/>
          <w:b/>
          <w:bCs/>
          <w:i/>
          <w:iCs/>
          <w:color w:val="00000A"/>
          <w:lang w:val="en-US" w:eastAsia="en-US" w:bidi="en-US"/>
        </w:rPr>
        <w:t>Nota explicativa</w:t>
      </w:r>
      <w:r>
        <w:rPr>
          <w:rFonts w:ascii="Liberation Serif" w:hAnsi="Liberation Serif" w:eastAsia="Segoe UI"/>
          <w:i/>
          <w:iCs/>
          <w:color w:val="00000A"/>
          <w:lang w:val="en-US" w:eastAsia="en-US" w:bidi="en-US"/>
        </w:rPr>
        <w:t xml:space="preserve">: </w:t>
      </w:r>
      <w:r>
        <w:rPr>
          <w:rFonts w:ascii="Liberation Serif" w:hAnsi="Liberation Serif" w:eastAsia="Segoe UI"/>
          <w:color w:val="00000A"/>
          <w:lang w:val="en-US" w:eastAsia="en-US" w:bidi="en-US"/>
        </w:rPr>
        <w:t>Conforme art. 20, parágrafo único, do Decreto nº 11.462/23.</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rPr>
          <w:rFonts w:ascii="Liberation Serif" w:hAnsi="Liberation Serif" w:eastAsia="Segoe UI"/>
          <w:color w:val="00000A"/>
          <w:lang w:val="en-US" w:eastAsia="en-US" w:bidi="en-US"/>
        </w:rPr>
        <w:t>art. 156, §1º, da Lei nº 14.133, de 2021</w:t>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rPr>
          <w:rFonts w:ascii="Liberation Serif" w:hAnsi="Liberation Serif" w:eastAsia="Segoe UI"/>
          <w:color w:val="00000A"/>
          <w:lang w:val="en-US" w:eastAsia="en-US" w:bidi="en-US"/>
        </w:rPr>
        <w:t>art. 156, §3º</w:t>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Segoe UI"/>
          <w:color w:val="00000A"/>
          <w:lang w:val="en-US" w:eastAsia="en-US" w:bidi="en-US"/>
        </w:rPr>
        <w:t>art. 155 da Lei n.º 14.133/2021</w:t>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color w:val="00000A"/>
          <w:lang w:val="en-US" w:eastAsia="en-US" w:bidi="en-US"/>
        </w:rPr>
        <w:t>art. 156, §4º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color w:val="00000A"/>
          <w:lang w:val="en-US" w:eastAsia="en-US" w:bidi="en-US"/>
        </w:rPr>
        <w:t>art. 158, §1º</w:t>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color w:val="00000A"/>
          <w:lang w:val="en-US" w:eastAsia="en-US" w:bidi="en-US"/>
        </w:rPr>
        <w:t>art. 156, §9º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3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r>
        <w:rPr>
          <w:rFonts w:ascii="Liberation Serif" w:hAnsi="Liberation Serif" w:eastAsia="Segoe UI"/>
          <w:color w:val="00000A"/>
          <w:lang w:val="en-US" w:eastAsia="en-US" w:bidi="en-US"/>
        </w:rPr>
        <w:t>§ 2º do artigo 16 da IN SEGES nº 73, de 2022</w:t>
      </w:r>
      <w:r>
        <w:rPr>
          <w:rFonts w:ascii="Liberation Serif" w:hAnsi="Liberation Serif" w:eastAsia="Segoe UI"/>
          <w:i/>
          <w:iCs/>
          <w:color w:val="000000"/>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0962891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instrText> PAGE </w:instrText>
        </w:r>
        <w:r>
          <w:fldChar w:fldCharType="separate"/>
        </w:r>
        <w:r>
          <w:t>21</w:t>
        </w:r>
        <w: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instrText> NUMPAGES </w:instrText>
        </w:r>
        <w:r>
          <w:fldChar w:fldCharType="separate"/>
        </w:r>
        <w:r>
          <w:t>21</w:t>
        </w:r>
        <w: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68" w:name="_Hlk135299665"/>
        <w:bookmarkEnd w:id="68"/>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 xml:space="preserve">Edital modelo para Pregão Eletrônico </w:t>
        </w:r>
        <w:bookmarkStart w:id="69" w:name="_Hlk135299681"/>
        <w:bookmarkEnd w:id="69"/>
        <w:r>
          <w:rPr>
            <w:rFonts w:cs="Arial" w:ascii="Arial" w:hAnsi="Arial"/>
            <w:sz w:val="14"/>
            <w:szCs w:val="14"/>
          </w:rPr>
          <w:t>-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70" w:name="_Hlk135299703"/>
        <w:bookmarkEnd w:id="70"/>
        <w:r>
          <w:rPr>
            <w:rFonts w:cs="Arial" w:ascii="Arial" w:hAnsi="Arial"/>
            <w:sz w:val="14"/>
            <w:szCs w:val="14"/>
          </w:rPr>
          <w:t>Identidade visual pela Secretaria de Gestão e Inovação</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EDITAL – PREGÃO ELETRÔNICO SRP Nº 011/2023 – 7º BEC</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val="false"/>
        <w:color w:val="000000"/>
      </w:rPr>
    </w:lvl>
    <w:lvl w:ilvl="1">
      <w:start w:val="1"/>
      <w:numFmt w:val="decimal"/>
      <w:lvlText w:val="%1.%2."/>
      <w:lvlJc w:val="left"/>
      <w:pPr>
        <w:ind w:left="999" w:hanging="432"/>
      </w:pPr>
      <w:rPr>
        <w:dstrike w:val="false"/>
        <w:strike w:val="false"/>
        <w:sz w:val="20"/>
        <w:i w:val="false"/>
        <w:u w:val="none"/>
        <w:b/>
        <w:szCs w:val="20"/>
        <w:color w:val="00000A"/>
      </w:rPr>
    </w:lvl>
    <w:lvl w:ilvl="2">
      <w:start w:val="1"/>
      <w:numFmt w:val="decimal"/>
      <w:lvlText w:val="%1.%2.%3."/>
      <w:lvlJc w:val="left"/>
      <w:pPr>
        <w:ind w:left="1638" w:hanging="504"/>
      </w:pPr>
      <w:rPr>
        <w:dstrike w:val="false"/>
        <w:strike w:val="false"/>
        <w:sz w:val="20"/>
        <w:i w:val="false"/>
        <w:b/>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00000A"/>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ListLabel13">
    <w:name w:val="ListLabel 13"/>
    <w:qFormat/>
    <w:rPr>
      <w:b/>
    </w:rPr>
  </w:style>
  <w:style w:type="character" w:styleId="ListLabel14">
    <w:name w:val="ListLabel 14"/>
    <w:qFormat/>
    <w:rPr>
      <w:b/>
      <w:i w:val="false"/>
      <w:strike w:val="false"/>
      <w:dstrike w:val="false"/>
      <w:color w:val="00000A"/>
      <w:sz w:val="20"/>
      <w:szCs w:val="20"/>
      <w:u w:val="none"/>
    </w:rPr>
  </w:style>
  <w:style w:type="character" w:styleId="ListLabel15">
    <w:name w:val="ListLabel 15"/>
    <w:qFormat/>
    <w:rPr>
      <w:b/>
      <w:i w:val="false"/>
      <w:strike w:val="false"/>
      <w:dstrike w:val="false"/>
      <w:color w:val="00000A"/>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b w:val="false"/>
      <w:i w:val="false"/>
      <w:strike w:val="false"/>
      <w:dstrike w:val="false"/>
      <w:color w:val="00000A"/>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00000A"/>
      <w:sz w:val="20"/>
      <w:szCs w:val="20"/>
      <w:u w:val="none"/>
    </w:rPr>
  </w:style>
  <w:style w:type="character" w:styleId="ListLabel28">
    <w:name w:val="ListLabel 28"/>
    <w:qFormat/>
    <w:rPr>
      <w:b w:val="false"/>
      <w:i w:val="false"/>
      <w:strike w:val="false"/>
      <w:dstrike w:val="false"/>
      <w:color w:val="00000A"/>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00000A"/>
      <w:sz w:val="20"/>
      <w:szCs w:val="20"/>
      <w:u w:val="none"/>
    </w:rPr>
  </w:style>
  <w:style w:type="character" w:styleId="ListLabel31">
    <w:name w:val="ListLabel 31"/>
    <w:qFormat/>
    <w:rPr>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b w:val="false"/>
      <w:i w:val="false"/>
      <w:strike w:val="false"/>
      <w:dstrike w:val="false"/>
      <w:color w:val="00000A"/>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b w:val="false"/>
      <w:i w:val="false"/>
      <w:strike w:val="false"/>
      <w:dstrike w:val="false"/>
      <w:color w:val="00000A"/>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00000A"/>
      <w:sz w:val="20"/>
      <w:szCs w:val="20"/>
      <w:u w:val="none"/>
    </w:rPr>
  </w:style>
  <w:style w:type="character" w:styleId="ListLabel40">
    <w:name w:val="ListLabel 40"/>
    <w:qFormat/>
    <w:rPr>
      <w:b w:val="false"/>
      <w:i w:val="false"/>
      <w:strike w:val="false"/>
      <w:dstrike w:val="false"/>
      <w:color w:val="00000A"/>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00000A"/>
      <w:sz w:val="20"/>
      <w:szCs w:val="20"/>
      <w:u w:val="none"/>
    </w:rPr>
  </w:style>
  <w:style w:type="character" w:styleId="ListLabel43">
    <w:name w:val="ListLabel 43"/>
    <w:qFormat/>
    <w:rPr>
      <w:b w:val="false"/>
      <w:i w:val="false"/>
      <w:strike w:val="false"/>
      <w:dstrike w:val="false"/>
      <w:color w:val="00000A"/>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00000A"/>
      <w:sz w:val="20"/>
      <w:szCs w:val="20"/>
      <w:u w:val="none"/>
    </w:rPr>
  </w:style>
  <w:style w:type="character" w:styleId="ListLabel46">
    <w:name w:val="ListLabel 46"/>
    <w:qFormat/>
    <w:rPr>
      <w:b w:val="false"/>
      <w:i w:val="false"/>
      <w:strike w:val="false"/>
      <w:dstrike w:val="false"/>
      <w:color w:val="00000A"/>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00000A"/>
      <w:sz w:val="20"/>
      <w:szCs w:val="20"/>
      <w:u w:val="none"/>
    </w:rPr>
  </w:style>
  <w:style w:type="character" w:styleId="ListLabel49">
    <w:name w:val="ListLabel 49"/>
    <w:qFormat/>
    <w:rPr>
      <w:b w:val="false"/>
      <w:i w:val="false"/>
      <w:strike w:val="false"/>
      <w:dstrike w:val="false"/>
      <w:color w:val="00000A"/>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00000A"/>
      <w:sz w:val="20"/>
      <w:szCs w:val="20"/>
      <w:u w:val="none"/>
    </w:rPr>
  </w:style>
  <w:style w:type="character" w:styleId="ListLabel52">
    <w:name w:val="ListLabel 52"/>
    <w:qFormat/>
    <w:rPr>
      <w:b w:val="false"/>
      <w:i w:val="false"/>
      <w:strike w:val="false"/>
      <w:dstrike w:val="false"/>
      <w:color w:val="00000A"/>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00000A"/>
      <w:sz w:val="20"/>
      <w:szCs w:val="20"/>
      <w:u w:val="none"/>
    </w:rPr>
  </w:style>
  <w:style w:type="character" w:styleId="ListLabel55">
    <w:name w:val="ListLabel 55"/>
    <w:qFormat/>
    <w:rPr>
      <w:b w:val="false"/>
      <w:i w:val="false"/>
      <w:strike w:val="false"/>
      <w:dstrike w:val="false"/>
      <w:color w:val="00000A"/>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b w:val="false"/>
      <w:i w:val="false"/>
      <w:strike w:val="false"/>
      <w:dstrike w:val="false"/>
      <w:color w:val="00000A"/>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00000A"/>
      <w:sz w:val="20"/>
      <w:szCs w:val="20"/>
      <w:u w:val="none"/>
    </w:rPr>
  </w:style>
  <w:style w:type="character" w:styleId="ListLabel76">
    <w:name w:val="ListLabel 76"/>
    <w:qFormat/>
    <w:rPr>
      <w:b w:val="false"/>
      <w:i w:val="false"/>
      <w:strike w:val="false"/>
      <w:dstrike w:val="false"/>
      <w:color w:val="00000A"/>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00000A"/>
      <w:sz w:val="20"/>
      <w:szCs w:val="20"/>
      <w:u w:val="none"/>
    </w:rPr>
  </w:style>
  <w:style w:type="character" w:styleId="ListLabel79">
    <w:name w:val="ListLabel 79"/>
    <w:qFormat/>
    <w:rPr>
      <w:b w:val="false"/>
      <w:i w:val="false"/>
      <w:strike w:val="false"/>
      <w:dstrike w:val="false"/>
      <w:color w:val="00000A"/>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00000A"/>
      <w:sz w:val="20"/>
      <w:szCs w:val="20"/>
      <w:u w:val="none"/>
    </w:rPr>
  </w:style>
  <w:style w:type="character" w:styleId="ListLabel82">
    <w:name w:val="ListLabel 82"/>
    <w:qFormat/>
    <w:rPr>
      <w:b w:val="false"/>
      <w:i w:val="false"/>
      <w:strike w:val="false"/>
      <w:dstrike w:val="false"/>
      <w:color w:val="00000A"/>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00000A"/>
      <w:sz w:val="20"/>
      <w:szCs w:val="20"/>
      <w:u w:val="none"/>
    </w:rPr>
  </w:style>
  <w:style w:type="character" w:styleId="ListLabel85">
    <w:name w:val="ListLabel 85"/>
    <w:qFormat/>
    <w:rPr>
      <w:b w:val="false"/>
      <w:i w:val="false"/>
      <w:strike w:val="false"/>
      <w:dstrike w:val="false"/>
      <w:color w:val="00000A"/>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00000A"/>
      <w:sz w:val="20"/>
      <w:szCs w:val="20"/>
      <w:u w:val="none"/>
    </w:rPr>
  </w:style>
  <w:style w:type="character" w:styleId="ListLabel88">
    <w:name w:val="ListLabel 88"/>
    <w:qFormat/>
    <w:rPr>
      <w:b w:val="false"/>
      <w:i w:val="false"/>
      <w:strike w:val="false"/>
      <w:dstrike w:val="false"/>
      <w:color w:val="00000A"/>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00000A"/>
      <w:sz w:val="20"/>
      <w:szCs w:val="20"/>
      <w:u w:val="none"/>
    </w:rPr>
  </w:style>
  <w:style w:type="character" w:styleId="ListLabel91">
    <w:name w:val="ListLabel 91"/>
    <w:qFormat/>
    <w:rPr>
      <w:color w:val="FF0000"/>
    </w:rPr>
  </w:style>
  <w:style w:type="character" w:styleId="ListLabel92">
    <w:name w:val="ListLabel 92"/>
    <w:qFormat/>
    <w:rPr>
      <w:b/>
    </w:rPr>
  </w:style>
  <w:style w:type="character" w:styleId="ListLabel93">
    <w:name w:val="ListLabel 93"/>
    <w:qFormat/>
    <w:rPr>
      <w:b w:val="false"/>
      <w:i w:val="false"/>
      <w:strike w:val="false"/>
      <w:dstrike w:val="false"/>
      <w:color w:val="00000A"/>
      <w:sz w:val="20"/>
      <w:szCs w:val="20"/>
      <w:u w:val="none"/>
    </w:rPr>
  </w:style>
  <w:style w:type="character" w:styleId="ListLabel94">
    <w:name w:val="ListLabel 94"/>
    <w:qFormat/>
    <w:rPr>
      <w:b w:val="false"/>
      <w:i w:val="false"/>
      <w:strike w:val="false"/>
      <w:dstrike w:val="false"/>
      <w:color w:val="00000A"/>
      <w:sz w:val="20"/>
      <w:szCs w:val="20"/>
    </w:rPr>
  </w:style>
  <w:style w:type="character" w:styleId="ListLabel95">
    <w:name w:val="ListLabel 95"/>
    <w:qFormat/>
    <w:rPr>
      <w:i/>
      <w:iCs/>
    </w:rPr>
  </w:style>
  <w:style w:type="character" w:styleId="ListLabel96">
    <w:name w:val="ListLabel 96"/>
    <w:qFormat/>
    <w:rPr/>
  </w:style>
  <w:style w:type="character" w:styleId="ListLabel97">
    <w:name w:val="ListLabel 97"/>
    <w:qFormat/>
    <w:rPr>
      <w:rFonts w:eastAsia="Times New Roman"/>
    </w:rPr>
  </w:style>
  <w:style w:type="character" w:styleId="ListLabel98">
    <w:name w:val="ListLabel 98"/>
    <w:qFormat/>
    <w:rPr>
      <w:i/>
      <w:iCs/>
      <w:highlight w:val="yellow"/>
    </w:rPr>
  </w:style>
  <w:style w:type="character" w:styleId="ListLabel99">
    <w:name w:val="ListLabel 99"/>
    <w:qFormat/>
    <w:rPr>
      <w:rFonts w:eastAsia="Zurich BT"/>
    </w:rPr>
  </w:style>
  <w:style w:type="character" w:styleId="ListLabel100">
    <w:name w:val="ListLabel 100"/>
    <w:qFormat/>
    <w:rPr>
      <w:rFonts w:eastAsia="Arial"/>
    </w:rPr>
  </w:style>
  <w:style w:type="character" w:styleId="ListLabel101">
    <w:name w:val="ListLabel 101"/>
    <w:qFormat/>
    <w:rPr>
      <w:lang w:eastAsia="ar-SA"/>
    </w:rPr>
  </w:style>
  <w:style w:type="character" w:styleId="ListLabel102">
    <w:name w:val="ListLabel 102"/>
    <w:qFormat/>
    <w:rPr>
      <w:i/>
      <w:iCs/>
      <w:lang w:val="pt-BR"/>
    </w:rPr>
  </w:style>
  <w:style w:type="character" w:styleId="ListLabel103">
    <w:name w:val="ListLabel 103"/>
    <w:qFormat/>
    <w:rPr>
      <w:color w:val="000000"/>
      <w:u w:val="none"/>
    </w:rPr>
  </w:style>
  <w:style w:type="character" w:styleId="Vnculodendice">
    <w:name w:val="Vínculo de índice"/>
    <w:qFormat/>
    <w:rPr/>
  </w:style>
  <w:style w:type="character" w:styleId="ListLabel104">
    <w:name w:val="ListLabel 104"/>
    <w:qFormat/>
    <w:rPr>
      <w:b/>
    </w:rPr>
  </w:style>
  <w:style w:type="character" w:styleId="ListLabel105">
    <w:name w:val="ListLabel 105"/>
    <w:qFormat/>
    <w:rPr>
      <w:b/>
      <w:i w:val="false"/>
      <w:strike w:val="false"/>
      <w:dstrike w:val="false"/>
      <w:color w:val="00000A"/>
      <w:sz w:val="20"/>
      <w:szCs w:val="20"/>
      <w:u w:val="none"/>
    </w:rPr>
  </w:style>
  <w:style w:type="character" w:styleId="ListLabel106">
    <w:name w:val="ListLabel 106"/>
    <w:qFormat/>
    <w:rPr>
      <w:b/>
      <w:i w:val="false"/>
      <w:strike w:val="false"/>
      <w:dstrike w:val="false"/>
      <w:color w:val="00000A"/>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00000A"/>
      <w:sz w:val="20"/>
      <w:szCs w:val="20"/>
      <w:u w:val="none"/>
    </w:rPr>
  </w:style>
  <w:style w:type="character" w:styleId="ListLabel109">
    <w:name w:val="ListLabel 109"/>
    <w:qFormat/>
    <w:rPr>
      <w:b w:val="false"/>
      <w:i w:val="false"/>
      <w:strike w:val="false"/>
      <w:dstrike w:val="false"/>
      <w:color w:val="00000A"/>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00000A"/>
      <w:sz w:val="20"/>
      <w:szCs w:val="20"/>
      <w:u w:val="none"/>
    </w:rPr>
  </w:style>
  <w:style w:type="character" w:styleId="ListLabel112">
    <w:name w:val="ListLabel 112"/>
    <w:qFormat/>
    <w:rPr>
      <w:b w:val="false"/>
      <w:i w:val="false"/>
      <w:strike w:val="false"/>
      <w:dstrike w:val="false"/>
      <w:color w:val="00000A"/>
      <w:sz w:val="20"/>
      <w:szCs w:val="20"/>
    </w:rPr>
  </w:style>
  <w:style w:type="character" w:styleId="ListLabel113">
    <w:name w:val="ListLabel 113"/>
    <w:qFormat/>
    <w:rPr/>
  </w:style>
  <w:style w:type="character" w:styleId="ListLabel114">
    <w:name w:val="ListLabel 114"/>
    <w:qFormat/>
    <w:rPr>
      <w:rFonts w:eastAsia="Times New Roman"/>
    </w:rPr>
  </w:style>
  <w:style w:type="character" w:styleId="ListLabel115">
    <w:name w:val="ListLabel 115"/>
    <w:qFormat/>
    <w:rPr>
      <w:rFonts w:eastAsia="Zurich BT"/>
    </w:rPr>
  </w:style>
  <w:style w:type="character" w:styleId="ListLabel116">
    <w:name w:val="ListLabel 116"/>
    <w:qFormat/>
    <w:rPr>
      <w:rFonts w:eastAsia="Arial"/>
    </w:rPr>
  </w:style>
  <w:style w:type="character" w:styleId="ListLabel117">
    <w:name w:val="ListLabel 117"/>
    <w:qFormat/>
    <w:rPr>
      <w:lang w:eastAsia="ar-SA"/>
    </w:rPr>
  </w:style>
  <w:style w:type="character" w:styleId="ListLabel118">
    <w:name w:val="ListLabel 118"/>
    <w:qFormat/>
    <w:rPr>
      <w:i/>
      <w:iCs/>
    </w:rPr>
  </w:style>
  <w:style w:type="character" w:styleId="ListLabel119">
    <w:name w:val="ListLabel 119"/>
    <w:qFormat/>
    <w:rPr>
      <w:color w:val="000000"/>
      <w:u w:val="none"/>
    </w:rPr>
  </w:style>
  <w:style w:type="character" w:styleId="ListLabel120">
    <w:name w:val="ListLabel 120"/>
    <w:qFormat/>
    <w:rPr>
      <w:b/>
    </w:rPr>
  </w:style>
  <w:style w:type="character" w:styleId="ListLabel121">
    <w:name w:val="ListLabel 121"/>
    <w:qFormat/>
    <w:rPr>
      <w:b/>
      <w:i w:val="false"/>
      <w:strike w:val="false"/>
      <w:dstrike w:val="false"/>
      <w:color w:val="00000A"/>
      <w:sz w:val="20"/>
      <w:szCs w:val="20"/>
      <w:u w:val="none"/>
    </w:rPr>
  </w:style>
  <w:style w:type="character" w:styleId="ListLabel122">
    <w:name w:val="ListLabel 122"/>
    <w:qFormat/>
    <w:rPr>
      <w:b/>
      <w:i w:val="false"/>
      <w:strike w:val="false"/>
      <w:dstrike w:val="false"/>
      <w:color w:val="00000A"/>
      <w:sz w:val="20"/>
      <w:szCs w:val="20"/>
    </w:rPr>
  </w:style>
  <w:style w:type="character" w:styleId="ListLabel123">
    <w:name w:val="ListLabel 123"/>
    <w:qFormat/>
    <w:rPr>
      <w:b/>
    </w:rPr>
  </w:style>
  <w:style w:type="character" w:styleId="ListLabel124">
    <w:name w:val="ListLabel 124"/>
    <w:qFormat/>
    <w:rPr>
      <w:b w:val="false"/>
      <w:i w:val="false"/>
      <w:strike w:val="false"/>
      <w:dstrike w:val="false"/>
      <w:color w:val="00000A"/>
      <w:sz w:val="20"/>
      <w:szCs w:val="20"/>
      <w:u w:val="none"/>
    </w:rPr>
  </w:style>
  <w:style w:type="character" w:styleId="ListLabel125">
    <w:name w:val="ListLabel 125"/>
    <w:qFormat/>
    <w:rPr>
      <w:b w:val="false"/>
      <w:i w:val="false"/>
      <w:strike w:val="false"/>
      <w:dstrike w:val="false"/>
      <w:color w:val="00000A"/>
      <w:sz w:val="20"/>
      <w:szCs w:val="20"/>
    </w:rPr>
  </w:style>
  <w:style w:type="character" w:styleId="ListLabel126">
    <w:name w:val="ListLabel 126"/>
    <w:qFormat/>
    <w:rPr>
      <w:b/>
    </w:rPr>
  </w:style>
  <w:style w:type="character" w:styleId="ListLabel127">
    <w:name w:val="ListLabel 127"/>
    <w:qFormat/>
    <w:rPr>
      <w:b w:val="false"/>
      <w:i w:val="false"/>
      <w:strike w:val="false"/>
      <w:dstrike w:val="false"/>
      <w:color w:val="00000A"/>
      <w:sz w:val="20"/>
      <w:szCs w:val="20"/>
      <w:u w:val="none"/>
    </w:rPr>
  </w:style>
  <w:style w:type="character" w:styleId="ListLabel128">
    <w:name w:val="ListLabel 128"/>
    <w:qFormat/>
    <w:rPr>
      <w:b w:val="false"/>
      <w:i w:val="false"/>
      <w:strike w:val="false"/>
      <w:dstrike w:val="false"/>
      <w:color w:val="00000A"/>
      <w:sz w:val="20"/>
      <w:szCs w:val="20"/>
    </w:rPr>
  </w:style>
  <w:style w:type="character" w:styleId="ListLabel129">
    <w:name w:val="ListLabel 129"/>
    <w:qFormat/>
    <w:rPr/>
  </w:style>
  <w:style w:type="character" w:styleId="ListLabel130">
    <w:name w:val="ListLabel 130"/>
    <w:qFormat/>
    <w:rPr>
      <w:rFonts w:eastAsia="Times New Roman"/>
    </w:rPr>
  </w:style>
  <w:style w:type="character" w:styleId="ListLabel131">
    <w:name w:val="ListLabel 131"/>
    <w:qFormat/>
    <w:rPr>
      <w:rFonts w:eastAsia="Zurich BT"/>
    </w:rPr>
  </w:style>
  <w:style w:type="character" w:styleId="ListLabel132">
    <w:name w:val="ListLabel 132"/>
    <w:qFormat/>
    <w:rPr>
      <w:rFonts w:eastAsia="Arial"/>
    </w:rPr>
  </w:style>
  <w:style w:type="character" w:styleId="ListLabel133">
    <w:name w:val="ListLabel 133"/>
    <w:qFormat/>
    <w:rPr>
      <w:lang w:eastAsia="ar-SA"/>
    </w:rPr>
  </w:style>
  <w:style w:type="character" w:styleId="ListLabel134">
    <w:name w:val="ListLabel 134"/>
    <w:qFormat/>
    <w:rPr>
      <w:i/>
      <w:iCs/>
    </w:rPr>
  </w:style>
  <w:style w:type="character" w:styleId="ListLabel135">
    <w:name w:val="ListLabel 135"/>
    <w:qFormat/>
    <w:rPr>
      <w:color w:val="000000"/>
      <w:u w:val="none"/>
    </w:rPr>
  </w:style>
  <w:style w:type="character" w:styleId="ListLabel136">
    <w:name w:val="ListLabel 136"/>
    <w:qFormat/>
    <w:rPr>
      <w:rFonts w:ascii="Arial" w:hAnsi="Arial"/>
      <w:b w:val="false"/>
      <w:sz w:val="20"/>
    </w:rPr>
  </w:style>
  <w:style w:type="character" w:styleId="ListLabel137">
    <w:name w:val="ListLabel 137"/>
    <w:qFormat/>
    <w:rPr>
      <w:b/>
      <w:i w:val="false"/>
      <w:strike w:val="false"/>
      <w:dstrike w:val="false"/>
      <w:color w:val="00000A"/>
      <w:sz w:val="20"/>
      <w:szCs w:val="20"/>
      <w:u w:val="none"/>
    </w:rPr>
  </w:style>
  <w:style w:type="character" w:styleId="ListLabel138">
    <w:name w:val="ListLabel 138"/>
    <w:qFormat/>
    <w:rPr>
      <w:rFonts w:ascii="Arial" w:hAnsi="Arial"/>
      <w:b/>
      <w:i w:val="false"/>
      <w:strike w:val="false"/>
      <w:dstrike w:val="false"/>
      <w:color w:val="00000A"/>
      <w:sz w:val="20"/>
      <w:szCs w:val="20"/>
    </w:rPr>
  </w:style>
  <w:style w:type="character" w:styleId="ListLabel139">
    <w:name w:val="ListLabel 139"/>
    <w:qFormat/>
    <w:rPr/>
  </w:style>
  <w:style w:type="character" w:styleId="ListLabel140">
    <w:name w:val="ListLabel 140"/>
    <w:qFormat/>
    <w:rPr>
      <w:rFonts w:eastAsia="Times New Roman"/>
    </w:rPr>
  </w:style>
  <w:style w:type="character" w:styleId="ListLabel141">
    <w:name w:val="ListLabel 141"/>
    <w:qFormat/>
    <w:rPr>
      <w:rFonts w:eastAsia="Zurich BT"/>
    </w:rPr>
  </w:style>
  <w:style w:type="character" w:styleId="ListLabel142">
    <w:name w:val="ListLabel 142"/>
    <w:qFormat/>
    <w:rPr>
      <w:rFonts w:eastAsia="Arial"/>
    </w:rPr>
  </w:style>
  <w:style w:type="character" w:styleId="ListLabel143">
    <w:name w:val="ListLabel 143"/>
    <w:qFormat/>
    <w:rPr>
      <w:lang w:eastAsia="ar-SA"/>
    </w:rPr>
  </w:style>
  <w:style w:type="character" w:styleId="ListLabel144">
    <w:name w:val="ListLabel 144"/>
    <w:qFormat/>
    <w:rPr>
      <w:i/>
      <w:iCs/>
    </w:rPr>
  </w:style>
  <w:style w:type="character" w:styleId="ListLabel145">
    <w:name w:val="ListLabel 145"/>
    <w:qFormat/>
    <w:rPr>
      <w:color w:val="000000"/>
      <w:u w:val="none"/>
    </w:rPr>
  </w:style>
  <w:style w:type="character" w:styleId="ListLabel146">
    <w:name w:val="ListLabel 146"/>
    <w:qFormat/>
    <w:rPr>
      <w:b w:val="false"/>
      <w:sz w:val="20"/>
    </w:rPr>
  </w:style>
  <w:style w:type="character" w:styleId="ListLabel147">
    <w:name w:val="ListLabel 147"/>
    <w:qFormat/>
    <w:rPr>
      <w:rFonts w:ascii="Arial" w:hAnsi="Arial"/>
      <w:b w:val="false"/>
      <w:i w:val="false"/>
      <w:strike w:val="false"/>
      <w:dstrike w:val="false"/>
      <w:color w:val="00000A"/>
      <w:sz w:val="20"/>
      <w:szCs w:val="20"/>
      <w:u w:val="none"/>
    </w:rPr>
  </w:style>
  <w:style w:type="character" w:styleId="ListLabel148">
    <w:name w:val="ListLabel 148"/>
    <w:qFormat/>
    <w:rPr>
      <w:rFonts w:ascii="Arial" w:hAnsi="Arial"/>
      <w:b/>
      <w:i w:val="false"/>
      <w:strike w:val="false"/>
      <w:dstrike w:val="false"/>
      <w:color w:val="00000A"/>
      <w:sz w:val="20"/>
      <w:szCs w:val="20"/>
    </w:rPr>
  </w:style>
  <w:style w:type="character" w:styleId="ListLabel149">
    <w:name w:val="ListLabel 149"/>
    <w:qFormat/>
    <w:rPr/>
  </w:style>
  <w:style w:type="character" w:styleId="ListLabel150">
    <w:name w:val="ListLabel 150"/>
    <w:qFormat/>
    <w:rPr>
      <w:rFonts w:eastAsia="Times New Roman"/>
    </w:rPr>
  </w:style>
  <w:style w:type="character" w:styleId="ListLabel151">
    <w:name w:val="ListLabel 151"/>
    <w:qFormat/>
    <w:rPr>
      <w:rFonts w:eastAsia="Zurich BT"/>
    </w:rPr>
  </w:style>
  <w:style w:type="character" w:styleId="ListLabel152">
    <w:name w:val="ListLabel 152"/>
    <w:qFormat/>
    <w:rPr>
      <w:rFonts w:eastAsia="Arial"/>
    </w:rPr>
  </w:style>
  <w:style w:type="character" w:styleId="ListLabel153">
    <w:name w:val="ListLabel 153"/>
    <w:qFormat/>
    <w:rPr>
      <w:lang w:eastAsia="ar-SA"/>
    </w:rPr>
  </w:style>
  <w:style w:type="character" w:styleId="ListLabel154">
    <w:name w:val="ListLabel 154"/>
    <w:qFormat/>
    <w:rPr>
      <w:i/>
      <w:iCs/>
    </w:rPr>
  </w:style>
  <w:style w:type="character" w:styleId="ListLabel155">
    <w:name w:val="ListLabel 155"/>
    <w:qFormat/>
    <w:rPr>
      <w:color w:val="000000"/>
      <w:u w:val="none"/>
    </w:rPr>
  </w:style>
  <w:style w:type="character" w:styleId="ListLabel156">
    <w:name w:val="ListLabel 156"/>
    <w:qFormat/>
    <w:rPr>
      <w:b w:val="false"/>
      <w:sz w:val="20"/>
    </w:rPr>
  </w:style>
  <w:style w:type="character" w:styleId="ListLabel157">
    <w:name w:val="ListLabel 157"/>
    <w:qFormat/>
    <w:rPr>
      <w:b/>
      <w:i w:val="false"/>
      <w:strike w:val="false"/>
      <w:dstrike w:val="false"/>
      <w:color w:val="00000A"/>
      <w:sz w:val="20"/>
      <w:szCs w:val="20"/>
      <w:u w:val="none"/>
    </w:rPr>
  </w:style>
  <w:style w:type="character" w:styleId="ListLabel158">
    <w:name w:val="ListLabel 158"/>
    <w:qFormat/>
    <w:rPr>
      <w:rFonts w:ascii="Arial" w:hAnsi="Arial"/>
      <w:b/>
      <w:i w:val="false"/>
      <w:strike w:val="false"/>
      <w:dstrike w:val="false"/>
      <w:color w:val="00000A"/>
      <w:sz w:val="20"/>
      <w:szCs w:val="20"/>
    </w:rPr>
  </w:style>
  <w:style w:type="character" w:styleId="ListLabel159">
    <w:name w:val="ListLabel 159"/>
    <w:qFormat/>
    <w:rPr/>
  </w:style>
  <w:style w:type="character" w:styleId="ListLabel160">
    <w:name w:val="ListLabel 160"/>
    <w:qFormat/>
    <w:rPr>
      <w:rFonts w:eastAsia="Times New Roman"/>
    </w:rPr>
  </w:style>
  <w:style w:type="character" w:styleId="ListLabel161">
    <w:name w:val="ListLabel 161"/>
    <w:qFormat/>
    <w:rPr>
      <w:rFonts w:eastAsia="Zurich BT"/>
    </w:rPr>
  </w:style>
  <w:style w:type="character" w:styleId="ListLabel162">
    <w:name w:val="ListLabel 162"/>
    <w:qFormat/>
    <w:rPr>
      <w:rFonts w:eastAsia="Arial"/>
    </w:rPr>
  </w:style>
  <w:style w:type="character" w:styleId="ListLabel163">
    <w:name w:val="ListLabel 163"/>
    <w:qFormat/>
    <w:rPr>
      <w:lang w:eastAsia="ar-SA"/>
    </w:rPr>
  </w:style>
  <w:style w:type="character" w:styleId="ListLabel164">
    <w:name w:val="ListLabel 164"/>
    <w:qFormat/>
    <w:rPr>
      <w:i/>
      <w:iCs/>
    </w:rPr>
  </w:style>
  <w:style w:type="character" w:styleId="ListLabel165">
    <w:name w:val="ListLabel 165"/>
    <w:qFormat/>
    <w:rPr>
      <w:color w:val="000000"/>
      <w:u w:val="none"/>
    </w:rPr>
  </w:style>
  <w:style w:type="character" w:styleId="ListLabel166">
    <w:name w:val="ListLabel 166"/>
    <w:qFormat/>
    <w:rPr>
      <w:b w:val="false"/>
      <w:sz w:val="20"/>
    </w:rPr>
  </w:style>
  <w:style w:type="character" w:styleId="ListLabel167">
    <w:name w:val="ListLabel 167"/>
    <w:qFormat/>
    <w:rPr>
      <w:b/>
      <w:i w:val="false"/>
      <w:strike w:val="false"/>
      <w:dstrike w:val="false"/>
      <w:color w:val="00000A"/>
      <w:sz w:val="20"/>
      <w:szCs w:val="20"/>
      <w:u w:val="none"/>
    </w:rPr>
  </w:style>
  <w:style w:type="character" w:styleId="ListLabel168">
    <w:name w:val="ListLabel 168"/>
    <w:qFormat/>
    <w:rPr>
      <w:rFonts w:ascii="Arial" w:hAnsi="Arial"/>
      <w:b/>
      <w:i w:val="false"/>
      <w:strike w:val="false"/>
      <w:dstrike w:val="false"/>
      <w:color w:val="00000A"/>
      <w:sz w:val="20"/>
      <w:szCs w:val="20"/>
    </w:rPr>
  </w:style>
  <w:style w:type="character" w:styleId="ListLabel169">
    <w:name w:val="ListLabel 169"/>
    <w:qFormat/>
    <w:rPr/>
  </w:style>
  <w:style w:type="character" w:styleId="ListLabel170">
    <w:name w:val="ListLabel 170"/>
    <w:qFormat/>
    <w:rPr>
      <w:rFonts w:eastAsia="Times New Roman"/>
    </w:rPr>
  </w:style>
  <w:style w:type="character" w:styleId="ListLabel171">
    <w:name w:val="ListLabel 171"/>
    <w:qFormat/>
    <w:rPr>
      <w:rFonts w:eastAsia="Zurich BT"/>
    </w:rPr>
  </w:style>
  <w:style w:type="character" w:styleId="ListLabel172">
    <w:name w:val="ListLabel 172"/>
    <w:qFormat/>
    <w:rPr>
      <w:rFonts w:eastAsia="Arial"/>
    </w:rPr>
  </w:style>
  <w:style w:type="character" w:styleId="ListLabel173">
    <w:name w:val="ListLabel 173"/>
    <w:qFormat/>
    <w:rPr>
      <w:lang w:eastAsia="ar-SA"/>
    </w:rPr>
  </w:style>
  <w:style w:type="character" w:styleId="ListLabel174">
    <w:name w:val="ListLabel 174"/>
    <w:qFormat/>
    <w:rPr>
      <w:i/>
      <w:iCs/>
    </w:rPr>
  </w:style>
  <w:style w:type="character" w:styleId="ListLabel175">
    <w:name w:val="ListLabel 175"/>
    <w:qFormat/>
    <w:rPr>
      <w:color w:val="000000"/>
      <w:u w:val="none"/>
    </w:rPr>
  </w:style>
  <w:style w:type="character" w:styleId="ListLabel176">
    <w:name w:val="ListLabel 176"/>
    <w:qFormat/>
    <w:rPr>
      <w:b w:val="false"/>
      <w:sz w:val="20"/>
    </w:rPr>
  </w:style>
  <w:style w:type="character" w:styleId="ListLabel177">
    <w:name w:val="ListLabel 177"/>
    <w:qFormat/>
    <w:rPr>
      <w:b/>
      <w:i w:val="false"/>
      <w:strike w:val="false"/>
      <w:dstrike w:val="false"/>
      <w:color w:val="00000A"/>
      <w:sz w:val="20"/>
      <w:szCs w:val="20"/>
      <w:u w:val="none"/>
    </w:rPr>
  </w:style>
  <w:style w:type="character" w:styleId="ListLabel178">
    <w:name w:val="ListLabel 178"/>
    <w:qFormat/>
    <w:rPr>
      <w:b/>
      <w:i w:val="false"/>
      <w:strike w:val="false"/>
      <w:dstrike w:val="false"/>
      <w:color w:val="00000A"/>
      <w:sz w:val="20"/>
      <w:szCs w:val="20"/>
    </w:rPr>
  </w:style>
  <w:style w:type="character" w:styleId="ListLabel179">
    <w:name w:val="ListLabel 179"/>
    <w:qFormat/>
    <w:rPr/>
  </w:style>
  <w:style w:type="character" w:styleId="ListLabel180">
    <w:name w:val="ListLabel 180"/>
    <w:qFormat/>
    <w:rPr>
      <w:rFonts w:eastAsia="Times New Roman"/>
    </w:rPr>
  </w:style>
  <w:style w:type="character" w:styleId="ListLabel181">
    <w:name w:val="ListLabel 181"/>
    <w:qFormat/>
    <w:rPr>
      <w:rFonts w:eastAsia="Zurich BT"/>
    </w:rPr>
  </w:style>
  <w:style w:type="character" w:styleId="ListLabel182">
    <w:name w:val="ListLabel 182"/>
    <w:qFormat/>
    <w:rPr>
      <w:rFonts w:eastAsia="Arial"/>
    </w:rPr>
  </w:style>
  <w:style w:type="character" w:styleId="ListLabel183">
    <w:name w:val="ListLabel 183"/>
    <w:qFormat/>
    <w:rPr>
      <w:lang w:eastAsia="ar-SA"/>
    </w:rPr>
  </w:style>
  <w:style w:type="character" w:styleId="ListLabel184">
    <w:name w:val="ListLabel 184"/>
    <w:qFormat/>
    <w:rPr>
      <w:i/>
      <w:iCs/>
    </w:rPr>
  </w:style>
  <w:style w:type="character" w:styleId="ListLabel185">
    <w:name w:val="ListLabel 185"/>
    <w:qFormat/>
    <w:rPr>
      <w:color w:val="000000"/>
      <w:u w:val="none"/>
    </w:rPr>
  </w:style>
  <w:style w:type="character" w:styleId="Fontepargpadro1">
    <w:name w:val="Fonte parág. padrão1"/>
    <w:qFormat/>
    <w:rPr/>
  </w:style>
  <w:style w:type="character" w:styleId="ListLabel186">
    <w:name w:val="ListLabel 186"/>
    <w:qFormat/>
    <w:rPr>
      <w:b w:val="false"/>
      <w:sz w:val="20"/>
    </w:rPr>
  </w:style>
  <w:style w:type="character" w:styleId="ListLabel187">
    <w:name w:val="ListLabel 187"/>
    <w:qFormat/>
    <w:rPr>
      <w:b/>
      <w:i w:val="false"/>
      <w:strike w:val="false"/>
      <w:dstrike w:val="false"/>
      <w:color w:val="00000A"/>
      <w:sz w:val="20"/>
      <w:szCs w:val="20"/>
      <w:u w:val="none"/>
    </w:rPr>
  </w:style>
  <w:style w:type="character" w:styleId="ListLabel188">
    <w:name w:val="ListLabel 188"/>
    <w:qFormat/>
    <w:rPr>
      <w:b/>
      <w:i w:val="false"/>
      <w:strike w:val="false"/>
      <w:dstrike w:val="false"/>
      <w:color w:val="00000A"/>
      <w:sz w:val="20"/>
      <w:szCs w:val="20"/>
    </w:rPr>
  </w:style>
  <w:style w:type="character" w:styleId="ListLabel189">
    <w:name w:val="ListLabel 189"/>
    <w:qFormat/>
    <w:rPr/>
  </w:style>
  <w:style w:type="character" w:styleId="ListLabel190">
    <w:name w:val="ListLabel 190"/>
    <w:qFormat/>
    <w:rPr>
      <w:rFonts w:eastAsia="Times New Roman"/>
    </w:rPr>
  </w:style>
  <w:style w:type="character" w:styleId="ListLabel191">
    <w:name w:val="ListLabel 191"/>
    <w:qFormat/>
    <w:rPr>
      <w:rFonts w:eastAsia="Zurich BT"/>
    </w:rPr>
  </w:style>
  <w:style w:type="character" w:styleId="ListLabel192">
    <w:name w:val="ListLabel 192"/>
    <w:qFormat/>
    <w:rPr>
      <w:rFonts w:eastAsia="Arial"/>
    </w:rPr>
  </w:style>
  <w:style w:type="character" w:styleId="ListLabel193">
    <w:name w:val="ListLabel 193"/>
    <w:qFormat/>
    <w:rPr>
      <w:lang w:eastAsia="ar-SA"/>
    </w:rPr>
  </w:style>
  <w:style w:type="character" w:styleId="ListLabel194">
    <w:name w:val="ListLabel 194"/>
    <w:qFormat/>
    <w:rPr>
      <w:i/>
      <w:iCs/>
    </w:rPr>
  </w:style>
  <w:style w:type="character" w:styleId="ListLabel195">
    <w:name w:val="ListLabel 195"/>
    <w:qFormat/>
    <w:rPr>
      <w:color w:val="000000"/>
      <w:u w:val="none"/>
    </w:rPr>
  </w:style>
  <w:style w:type="character" w:styleId="ListLabel196">
    <w:name w:val="ListLabel 196"/>
    <w:qFormat/>
    <w:rPr>
      <w:b w:val="false"/>
      <w:sz w:val="20"/>
    </w:rPr>
  </w:style>
  <w:style w:type="character" w:styleId="ListLabel197">
    <w:name w:val="ListLabel 197"/>
    <w:qFormat/>
    <w:rPr>
      <w:b/>
      <w:i w:val="false"/>
      <w:strike w:val="false"/>
      <w:dstrike w:val="false"/>
      <w:color w:val="00000A"/>
      <w:sz w:val="20"/>
      <w:szCs w:val="20"/>
      <w:u w:val="none"/>
    </w:rPr>
  </w:style>
  <w:style w:type="character" w:styleId="ListLabel198">
    <w:name w:val="ListLabel 198"/>
    <w:qFormat/>
    <w:rPr>
      <w:b/>
      <w:i w:val="false"/>
      <w:strike w:val="false"/>
      <w:dstrike w:val="false"/>
      <w:color w:val="00000A"/>
      <w:sz w:val="20"/>
      <w:szCs w:val="20"/>
    </w:rPr>
  </w:style>
  <w:style w:type="character" w:styleId="ListLabel199">
    <w:name w:val="ListLabel 199"/>
    <w:qFormat/>
    <w:rPr/>
  </w:style>
  <w:style w:type="character" w:styleId="ListLabel200">
    <w:name w:val="ListLabel 200"/>
    <w:qFormat/>
    <w:rPr>
      <w:rFonts w:eastAsia="Times New Roman"/>
    </w:rPr>
  </w:style>
  <w:style w:type="character" w:styleId="ListLabel201">
    <w:name w:val="ListLabel 201"/>
    <w:qFormat/>
    <w:rPr>
      <w:rFonts w:eastAsia="Zurich BT"/>
    </w:rPr>
  </w:style>
  <w:style w:type="character" w:styleId="ListLabel202">
    <w:name w:val="ListLabel 202"/>
    <w:qFormat/>
    <w:rPr>
      <w:rFonts w:eastAsia="Arial"/>
    </w:rPr>
  </w:style>
  <w:style w:type="character" w:styleId="ListLabel203">
    <w:name w:val="ListLabel 203"/>
    <w:qFormat/>
    <w:rPr>
      <w:lang w:eastAsia="ar-SA"/>
    </w:rPr>
  </w:style>
  <w:style w:type="character" w:styleId="ListLabel204">
    <w:name w:val="ListLabel 204"/>
    <w:qFormat/>
    <w:rPr>
      <w:i/>
      <w:iCs/>
    </w:rPr>
  </w:style>
  <w:style w:type="character" w:styleId="ListLabel205">
    <w:name w:val="ListLabel 205"/>
    <w:qFormat/>
    <w:rPr>
      <w:color w:val="000000"/>
      <w:u w:val="none"/>
    </w:rPr>
  </w:style>
  <w:style w:type="character" w:styleId="ListLabel206">
    <w:name w:val="ListLabel 206"/>
    <w:qFormat/>
    <w:rPr>
      <w:b w:val="false"/>
      <w:color w:val="000000"/>
      <w:sz w:val="20"/>
    </w:rPr>
  </w:style>
  <w:style w:type="character" w:styleId="ListLabel207">
    <w:name w:val="ListLabel 207"/>
    <w:qFormat/>
    <w:rPr>
      <w:b/>
      <w:i w:val="false"/>
      <w:strike w:val="false"/>
      <w:dstrike w:val="false"/>
      <w:color w:val="00000A"/>
      <w:sz w:val="20"/>
      <w:szCs w:val="20"/>
      <w:u w:val="none"/>
    </w:rPr>
  </w:style>
  <w:style w:type="character" w:styleId="ListLabel208">
    <w:name w:val="ListLabel 208"/>
    <w:qFormat/>
    <w:rPr>
      <w:b/>
      <w:i w:val="false"/>
      <w:strike w:val="false"/>
      <w:dstrike w:val="false"/>
      <w:color w:val="00000A"/>
      <w:sz w:val="20"/>
      <w:szCs w:val="20"/>
    </w:rPr>
  </w:style>
  <w:style w:type="character" w:styleId="ListLabel209">
    <w:name w:val="ListLabel 209"/>
    <w:qFormat/>
    <w:rPr>
      <w:b w:val="false"/>
      <w:color w:val="000000"/>
      <w:sz w:val="20"/>
    </w:rPr>
  </w:style>
  <w:style w:type="character" w:styleId="ListLabel210">
    <w:name w:val="ListLabel 210"/>
    <w:qFormat/>
    <w:rPr>
      <w:b/>
      <w:i w:val="false"/>
      <w:strike w:val="false"/>
      <w:dstrike w:val="false"/>
      <w:color w:val="00000A"/>
      <w:sz w:val="20"/>
      <w:szCs w:val="20"/>
      <w:u w:val="none"/>
    </w:rPr>
  </w:style>
  <w:style w:type="character" w:styleId="ListLabel211">
    <w:name w:val="ListLabel 211"/>
    <w:qFormat/>
    <w:rPr>
      <w:b/>
      <w:i w:val="false"/>
      <w:strike w:val="false"/>
      <w:dstrike w:val="false"/>
      <w:color w:val="00000A"/>
      <w:sz w:val="20"/>
      <w:szCs w:val="20"/>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keepNext w:val="true"/>
      <w:keepLines/>
      <w:widowControl/>
      <w:bidi w:val="0"/>
      <w:spacing w:lineRule="auto" w:line="312" w:before="288" w:after="288"/>
      <w:ind w:left="0" w:right="0" w:hanging="0"/>
      <w:jc w:val="both"/>
    </w:pPr>
    <w:rPr>
      <w:rFonts w:ascii="Arial" w:hAnsi="Arial" w:cs="Arial"/>
      <w:b w:val="false"/>
      <w:bCs w:val="false"/>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00000A"/>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left" w:pos="426" w:leader="none"/>
        <w:tab w:val="right" w:pos="9628" w:leader="dot"/>
      </w:tabs>
      <w:spacing w:before="0" w:after="100"/>
    </w:pPr>
    <w:rPr>
      <w:rFonts w:ascii="Arial" w:hAnsi="Arial" w:eastAsia="Times New Roman"/>
      <w:sz w:val="20"/>
    </w:rPr>
  </w:style>
  <w:style w:type="paragraph" w:styleId="Xl32">
    <w:name w:val="xl32"/>
    <w:basedOn w:val="Standard"/>
    <w:qFormat/>
    <w:pPr>
      <w:widowControl/>
      <w:suppressAutoHyphens w:val="false"/>
      <w:spacing w:before="280" w:after="280"/>
      <w:jc w:val="center"/>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comments" Target="comment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Relationship Id="rId35" Type="http://schemas.openxmlformats.org/officeDocument/2006/relationships/customXml" Target="../customXml/item2.xml"/><Relationship Id="rId36" Type="http://schemas.openxmlformats.org/officeDocument/2006/relationships/customXml" Target="../customXml/item3.xml"/><Relationship Id="rId3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500</TotalTime>
  <Application>LibreOffice/5.4.3.2$Windows_X86_64 LibreOffice_project/92a7159f7e4af62137622921e809f8546db437e5</Application>
  <Pages>21</Pages>
  <Words>9155</Words>
  <Characters>51389</Characters>
  <CharactersWithSpaces>59946</CharactersWithSpaces>
  <Paragraphs>367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2024-01-18T13:43:40Z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